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E4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93F4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6C60AF" w:rsidRDefault="006C60AF" w:rsidP="006C60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Pr>
          <w:color w:val="000000" w:themeColor="text1"/>
          <w:u w:color="000000" w:themeColor="text1"/>
        </w:rPr>
        <w:t>TO AMEND SECTION 12</w:t>
      </w:r>
      <w:r>
        <w:rPr>
          <w:color w:val="000000" w:themeColor="text1"/>
          <w:u w:color="000000" w:themeColor="text1"/>
        </w:rPr>
        <w:noBreakHyphen/>
        <w:t>43</w:t>
      </w:r>
      <w:r>
        <w:rPr>
          <w:color w:val="000000" w:themeColor="text1"/>
          <w:u w:color="000000" w:themeColor="text1"/>
        </w:rPr>
        <w:noBreakHyphen/>
        <w:t>220,</w:t>
      </w:r>
      <w:r w:rsidR="00C52983">
        <w:rPr>
          <w:color w:val="000000" w:themeColor="text1"/>
          <w:u w:color="000000" w:themeColor="text1"/>
        </w:rPr>
        <w:t xml:space="preserve"> AS AMENDED,</w:t>
      </w:r>
      <w:r>
        <w:rPr>
          <w:color w:val="000000" w:themeColor="text1"/>
          <w:u w:color="000000" w:themeColor="text1"/>
        </w:rPr>
        <w:t xml:space="preserve"> CODE OF LAWS OF SOUTH CAROLINA, 1976, RELATING TO ASSESSMENT RATIOS, SO AS TO PROVIDE THAT WHEN</w:t>
      </w:r>
      <w:r w:rsidRPr="00B8149D">
        <w:rPr>
          <w:color w:val="000000" w:themeColor="text1"/>
          <w:u w:color="000000" w:themeColor="text1"/>
        </w:rPr>
        <w:t xml:space="preserve"> AN OWNER RECEIVING</w:t>
      </w:r>
      <w:r>
        <w:rPr>
          <w:color w:val="000000" w:themeColor="text1"/>
          <w:u w:color="000000" w:themeColor="text1"/>
        </w:rPr>
        <w:t xml:space="preserve"> THE FOUR PERCENT ASSESSMENT RATIO DIES,</w:t>
      </w:r>
      <w:r w:rsidRPr="00B8149D">
        <w:rPr>
          <w:color w:val="000000" w:themeColor="text1"/>
          <w:u w:color="000000" w:themeColor="text1"/>
        </w:rPr>
        <w:t xml:space="preserve"> THE PROPERTY SHALL CONTINUE TO RECEIVE THE SPECIAL ASSESSMENT RATE UNTIL THE DECEASED</w:t>
      </w:r>
      <w:r w:rsidRPr="006C60AF">
        <w:rPr>
          <w:color w:val="000000" w:themeColor="text1"/>
          <w:u w:color="000000" w:themeColor="text1"/>
        </w:rPr>
        <w:t>’</w:t>
      </w:r>
      <w:r w:rsidRPr="00B8149D">
        <w:rPr>
          <w:color w:val="000000" w:themeColor="text1"/>
          <w:u w:color="000000" w:themeColor="text1"/>
        </w:rPr>
        <w:t xml:space="preserve">S ESTATE IS CLOSED, BUT FOR NO LONGER </w:t>
      </w:r>
      <w:r w:rsidR="00C52983">
        <w:rPr>
          <w:color w:val="000000" w:themeColor="text1"/>
          <w:u w:color="000000" w:themeColor="text1"/>
        </w:rPr>
        <w:t xml:space="preserve">THAN THE END OF THE SECOND PROPERTY TAX YEAR </w:t>
      </w:r>
      <w:r w:rsidRPr="00B8149D">
        <w:rPr>
          <w:color w:val="000000" w:themeColor="text1"/>
          <w:u w:color="000000" w:themeColor="text1"/>
        </w:rPr>
        <w:t>FOLLOWING THE</w:t>
      </w:r>
      <w:r w:rsidR="00C52983">
        <w:rPr>
          <w:color w:val="000000" w:themeColor="text1"/>
          <w:u w:color="000000" w:themeColor="text1"/>
        </w:rPr>
        <w:t xml:space="preserve"> YEAR OF THE</w:t>
      </w:r>
      <w:r w:rsidRPr="00B8149D">
        <w:rPr>
          <w:color w:val="000000" w:themeColor="text1"/>
          <w:u w:color="000000" w:themeColor="text1"/>
        </w:rPr>
        <w:t xml:space="preserve"> DECEDENT</w:t>
      </w:r>
      <w:r w:rsidRPr="006C60AF">
        <w:rPr>
          <w:color w:val="000000" w:themeColor="text1"/>
          <w:u w:color="000000" w:themeColor="text1"/>
        </w:rPr>
        <w:t>’</w:t>
      </w:r>
      <w:r w:rsidRPr="00B8149D">
        <w:rPr>
          <w:color w:val="000000" w:themeColor="text1"/>
          <w:u w:color="000000" w:themeColor="text1"/>
        </w:rPr>
        <w:t>S DEATH</w:t>
      </w:r>
      <w:r>
        <w:rPr>
          <w:color w:val="000000" w:themeColor="text1"/>
          <w:u w:color="000000" w:themeColor="text1"/>
        </w:rPr>
        <w:t>; AND TO AMEND SECTION 12</w:t>
      </w:r>
      <w:r>
        <w:rPr>
          <w:color w:val="000000" w:themeColor="text1"/>
          <w:u w:color="000000" w:themeColor="text1"/>
        </w:rPr>
        <w:noBreakHyphen/>
        <w:t>37</w:t>
      </w:r>
      <w:r>
        <w:rPr>
          <w:color w:val="000000" w:themeColor="text1"/>
          <w:u w:color="000000" w:themeColor="text1"/>
        </w:rPr>
        <w:noBreakHyphen/>
        <w:t>3150,</w:t>
      </w:r>
      <w:r w:rsidR="00C52983">
        <w:rPr>
          <w:color w:val="000000" w:themeColor="text1"/>
          <w:u w:color="000000" w:themeColor="text1"/>
        </w:rPr>
        <w:t xml:space="preserve"> AS AMENDED,</w:t>
      </w:r>
      <w:r>
        <w:rPr>
          <w:color w:val="000000" w:themeColor="text1"/>
          <w:u w:color="000000" w:themeColor="text1"/>
        </w:rPr>
        <w:t xml:space="preserve"> RELATING TO THE DETERMINATION OF WHEN TO APPRAISE REAL PROPERTY, SO AS TO PROVIDE THAT A CONVEYANCE BY DISTRIBUTION UNDER A WILL OR INTESTATE SUCCESSION IS NOT AN ASSESSABLE TRANSFER OF INTEREST</w:t>
      </w:r>
      <w:r w:rsidRPr="00B8149D">
        <w:rPr>
          <w:color w:val="000000" w:themeColor="text1"/>
          <w:u w:color="000000" w:themeColor="text1"/>
        </w:rPr>
        <w:t>.</w:t>
      </w:r>
    </w:p>
    <w:p w:rsidR="00593F4E" w:rsidRDefault="00593F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93F4E" w:rsidRDefault="00593F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93F4E" w:rsidRDefault="00593F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60AF" w:rsidRPr="00B8149D" w:rsidRDefault="006C60AF" w:rsidP="006C60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149D">
        <w:rPr>
          <w:color w:val="000000" w:themeColor="text1"/>
          <w:u w:color="000000" w:themeColor="text1"/>
        </w:rPr>
        <w:t>SECTION</w:t>
      </w:r>
      <w:r w:rsidRPr="00B8149D">
        <w:rPr>
          <w:color w:val="000000" w:themeColor="text1"/>
          <w:u w:color="000000" w:themeColor="text1"/>
        </w:rPr>
        <w:tab/>
        <w:t>1.</w:t>
      </w:r>
      <w:r w:rsidRPr="00B8149D">
        <w:rPr>
          <w:color w:val="000000" w:themeColor="text1"/>
          <w:u w:color="000000" w:themeColor="text1"/>
        </w:rPr>
        <w:tab/>
        <w:t>Section 12</w:t>
      </w:r>
      <w:r>
        <w:rPr>
          <w:color w:val="000000" w:themeColor="text1"/>
          <w:u w:color="000000" w:themeColor="text1"/>
        </w:rPr>
        <w:noBreakHyphen/>
      </w:r>
      <w:r w:rsidRPr="00B8149D">
        <w:rPr>
          <w:color w:val="000000" w:themeColor="text1"/>
          <w:u w:color="000000" w:themeColor="text1"/>
        </w:rPr>
        <w:t>43</w:t>
      </w:r>
      <w:r>
        <w:rPr>
          <w:color w:val="000000" w:themeColor="text1"/>
          <w:u w:color="000000" w:themeColor="text1"/>
        </w:rPr>
        <w:noBreakHyphen/>
      </w:r>
      <w:r w:rsidRPr="00B8149D">
        <w:rPr>
          <w:color w:val="000000" w:themeColor="text1"/>
          <w:u w:color="000000" w:themeColor="text1"/>
        </w:rPr>
        <w:t>220(c) of the 1976 Code, as last amended by Act 76 of 2009, is further amended by adding an appropriately numbered subitem at the end to read:</w:t>
      </w:r>
    </w:p>
    <w:p w:rsidR="006C60AF" w:rsidRPr="00B8149D" w:rsidRDefault="006C60AF" w:rsidP="006C60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C60AF" w:rsidRPr="00B8149D" w:rsidRDefault="006C60AF" w:rsidP="006C60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149D">
        <w:rPr>
          <w:color w:val="000000" w:themeColor="text1"/>
          <w:u w:color="000000" w:themeColor="text1"/>
        </w:rPr>
        <w:tab/>
        <w:t>“(  )</w:t>
      </w:r>
      <w:r w:rsidRPr="00B8149D">
        <w:rPr>
          <w:color w:val="000000" w:themeColor="text1"/>
          <w:u w:color="000000" w:themeColor="text1"/>
        </w:rPr>
        <w:tab/>
        <w:t>Notwithstanding any other provision of law, when an owner receiving the special assessment rate pursuant to this subsection dies, the property shall continue to receive the special assessment rate until the deceased</w:t>
      </w:r>
      <w:r w:rsidRPr="006C60AF">
        <w:rPr>
          <w:color w:val="000000" w:themeColor="text1"/>
          <w:u w:color="000000" w:themeColor="text1"/>
        </w:rPr>
        <w:t>’</w:t>
      </w:r>
      <w:r w:rsidRPr="00B8149D">
        <w:rPr>
          <w:color w:val="000000" w:themeColor="text1"/>
          <w:u w:color="000000" w:themeColor="text1"/>
        </w:rPr>
        <w:t xml:space="preserve">s estate is closed, but for no longer than the </w:t>
      </w:r>
      <w:r w:rsidR="00F46346">
        <w:rPr>
          <w:color w:val="000000" w:themeColor="text1"/>
          <w:u w:color="000000" w:themeColor="text1"/>
        </w:rPr>
        <w:t>end of the second property tax year</w:t>
      </w:r>
      <w:r w:rsidRPr="00B8149D">
        <w:rPr>
          <w:color w:val="000000" w:themeColor="text1"/>
          <w:u w:color="000000" w:themeColor="text1"/>
        </w:rPr>
        <w:t xml:space="preserve"> following the</w:t>
      </w:r>
      <w:r w:rsidR="00F46346">
        <w:rPr>
          <w:color w:val="000000" w:themeColor="text1"/>
          <w:u w:color="000000" w:themeColor="text1"/>
        </w:rPr>
        <w:t xml:space="preserve"> year of the</w:t>
      </w:r>
      <w:r w:rsidRPr="00B8149D">
        <w:rPr>
          <w:color w:val="000000" w:themeColor="text1"/>
          <w:u w:color="000000" w:themeColor="text1"/>
        </w:rPr>
        <w:t xml:space="preserve"> decedent</w:t>
      </w:r>
      <w:r w:rsidRPr="006C60AF">
        <w:rPr>
          <w:color w:val="000000" w:themeColor="text1"/>
          <w:u w:color="000000" w:themeColor="text1"/>
        </w:rPr>
        <w:t>’</w:t>
      </w:r>
      <w:r w:rsidRPr="00B8149D">
        <w:rPr>
          <w:color w:val="000000" w:themeColor="text1"/>
          <w:u w:color="000000" w:themeColor="text1"/>
        </w:rPr>
        <w:t>s death.”</w:t>
      </w:r>
    </w:p>
    <w:p w:rsidR="006C60AF" w:rsidRPr="00B8149D" w:rsidRDefault="006C60AF" w:rsidP="006C60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46346" w:rsidRPr="00B8149D" w:rsidRDefault="006C60AF" w:rsidP="00F46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18"/>
          <w:u w:color="000000" w:themeColor="text1"/>
        </w:rPr>
      </w:pPr>
      <w:r w:rsidRPr="00B8149D">
        <w:rPr>
          <w:color w:val="000000" w:themeColor="text1"/>
          <w:u w:color="000000" w:themeColor="text1"/>
        </w:rPr>
        <w:lastRenderedPageBreak/>
        <w:t>SECTION</w:t>
      </w:r>
      <w:r w:rsidRPr="00B8149D">
        <w:rPr>
          <w:color w:val="000000" w:themeColor="text1"/>
          <w:u w:color="000000" w:themeColor="text1"/>
        </w:rPr>
        <w:tab/>
        <w:t>2.</w:t>
      </w:r>
      <w:r w:rsidRPr="00B8149D">
        <w:rPr>
          <w:color w:val="000000" w:themeColor="text1"/>
          <w:u w:color="000000" w:themeColor="text1"/>
        </w:rPr>
        <w:tab/>
        <w:t>A.</w:t>
      </w:r>
      <w:r w:rsidRPr="00B8149D">
        <w:rPr>
          <w:color w:val="000000" w:themeColor="text1"/>
          <w:u w:color="000000" w:themeColor="text1"/>
        </w:rPr>
        <w:tab/>
      </w:r>
      <w:r w:rsidR="00F46346" w:rsidRPr="00B8149D">
        <w:rPr>
          <w:color w:val="000000" w:themeColor="text1"/>
          <w:szCs w:val="18"/>
          <w:u w:color="000000" w:themeColor="text1"/>
        </w:rPr>
        <w:t>Section 12</w:t>
      </w:r>
      <w:r w:rsidR="00F46346">
        <w:rPr>
          <w:color w:val="000000" w:themeColor="text1"/>
          <w:szCs w:val="18"/>
          <w:u w:color="000000" w:themeColor="text1"/>
        </w:rPr>
        <w:noBreakHyphen/>
      </w:r>
      <w:r w:rsidR="00F46346" w:rsidRPr="00B8149D">
        <w:rPr>
          <w:color w:val="000000" w:themeColor="text1"/>
          <w:szCs w:val="18"/>
          <w:u w:color="000000" w:themeColor="text1"/>
        </w:rPr>
        <w:t>37</w:t>
      </w:r>
      <w:r w:rsidR="00F46346">
        <w:rPr>
          <w:color w:val="000000" w:themeColor="text1"/>
          <w:szCs w:val="18"/>
          <w:u w:color="000000" w:themeColor="text1"/>
        </w:rPr>
        <w:noBreakHyphen/>
      </w:r>
      <w:r w:rsidR="00F46346" w:rsidRPr="00B8149D">
        <w:rPr>
          <w:color w:val="000000" w:themeColor="text1"/>
          <w:szCs w:val="18"/>
          <w:u w:color="000000" w:themeColor="text1"/>
        </w:rPr>
        <w:t>3150(A)(6) of the 1976 Code</w:t>
      </w:r>
      <w:r w:rsidR="00F46346">
        <w:rPr>
          <w:color w:val="000000" w:themeColor="text1"/>
          <w:szCs w:val="18"/>
          <w:u w:color="000000" w:themeColor="text1"/>
        </w:rPr>
        <w:t>, as last amended by Act 275 of 2010,</w:t>
      </w:r>
      <w:r w:rsidR="00F46346" w:rsidRPr="00B8149D">
        <w:rPr>
          <w:color w:val="000000" w:themeColor="text1"/>
          <w:szCs w:val="18"/>
          <w:u w:color="000000" w:themeColor="text1"/>
        </w:rPr>
        <w:t xml:space="preserve"> is </w:t>
      </w:r>
      <w:r w:rsidR="00F46346">
        <w:rPr>
          <w:color w:val="000000" w:themeColor="text1"/>
          <w:szCs w:val="18"/>
          <w:u w:color="000000" w:themeColor="text1"/>
        </w:rPr>
        <w:t xml:space="preserve">further </w:t>
      </w:r>
      <w:r w:rsidR="00F46346" w:rsidRPr="00B8149D">
        <w:rPr>
          <w:color w:val="000000" w:themeColor="text1"/>
          <w:szCs w:val="18"/>
          <w:u w:color="000000" w:themeColor="text1"/>
        </w:rPr>
        <w:t>amended to read:</w:t>
      </w:r>
    </w:p>
    <w:p w:rsidR="00F46346" w:rsidRPr="00B8149D" w:rsidRDefault="00F46346" w:rsidP="00F46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18"/>
          <w:u w:color="000000" w:themeColor="text1"/>
        </w:rPr>
      </w:pPr>
    </w:p>
    <w:p w:rsidR="00F46346" w:rsidRDefault="00F46346" w:rsidP="00F46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18"/>
          <w:u w:color="000000" w:themeColor="text1"/>
        </w:rPr>
      </w:pPr>
      <w:r w:rsidRPr="00B8149D">
        <w:rPr>
          <w:color w:val="000000" w:themeColor="text1"/>
          <w:szCs w:val="18"/>
          <w:u w:color="000000" w:themeColor="text1"/>
        </w:rPr>
        <w:tab/>
        <w:t>“(6)</w:t>
      </w:r>
      <w:r>
        <w:rPr>
          <w:color w:val="000000" w:themeColor="text1"/>
          <w:szCs w:val="18"/>
          <w:u w:color="000000" w:themeColor="text1"/>
        </w:rPr>
        <w:tab/>
      </w:r>
      <w:r w:rsidRPr="00B8149D">
        <w:rPr>
          <w:strike/>
          <w:color w:val="000000" w:themeColor="text1"/>
          <w:szCs w:val="18"/>
          <w:u w:color="000000" w:themeColor="text1"/>
        </w:rPr>
        <w:t>a conveyance by distribution under a will or by in</w:t>
      </w:r>
      <w:r>
        <w:rPr>
          <w:strike/>
          <w:color w:val="000000" w:themeColor="text1"/>
          <w:szCs w:val="18"/>
          <w:u w:color="000000" w:themeColor="text1"/>
        </w:rPr>
        <w:t xml:space="preserve">testate succession, except if: </w:t>
      </w:r>
    </w:p>
    <w:p w:rsidR="00F46346" w:rsidRDefault="00F46346" w:rsidP="00F46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18"/>
          <w:u w:color="000000" w:themeColor="text1"/>
        </w:rPr>
      </w:pPr>
      <w:r w:rsidRPr="006C60AF">
        <w:rPr>
          <w:color w:val="000000" w:themeColor="text1"/>
          <w:szCs w:val="18"/>
          <w:u w:color="000000" w:themeColor="text1"/>
        </w:rPr>
        <w:tab/>
      </w:r>
      <w:r w:rsidRPr="006C60AF">
        <w:rPr>
          <w:color w:val="000000" w:themeColor="text1"/>
          <w:szCs w:val="18"/>
          <w:u w:color="000000" w:themeColor="text1"/>
        </w:rPr>
        <w:tab/>
      </w:r>
      <w:r w:rsidRPr="00B8149D">
        <w:rPr>
          <w:strike/>
          <w:color w:val="000000" w:themeColor="text1"/>
          <w:szCs w:val="18"/>
          <w:u w:color="000000" w:themeColor="text1"/>
        </w:rPr>
        <w:t>(a)</w:t>
      </w:r>
      <w:r w:rsidRPr="006C60AF">
        <w:rPr>
          <w:color w:val="000000" w:themeColor="text1"/>
          <w:szCs w:val="18"/>
          <w:u w:color="000000" w:themeColor="text1"/>
        </w:rPr>
        <w:tab/>
      </w:r>
      <w:r w:rsidRPr="00B8149D">
        <w:rPr>
          <w:strike/>
          <w:color w:val="000000" w:themeColor="text1"/>
          <w:szCs w:val="18"/>
          <w:u w:color="000000" w:themeColor="text1"/>
        </w:rPr>
        <w:t>the distributee is the decedent</w:t>
      </w:r>
      <w:r w:rsidRPr="006C60AF">
        <w:rPr>
          <w:strike/>
          <w:color w:val="000000" w:themeColor="text1"/>
          <w:szCs w:val="18"/>
          <w:u w:color="000000" w:themeColor="text1"/>
        </w:rPr>
        <w:t>’</w:t>
      </w:r>
      <w:r>
        <w:rPr>
          <w:strike/>
          <w:color w:val="000000" w:themeColor="text1"/>
          <w:szCs w:val="18"/>
          <w:u w:color="000000" w:themeColor="text1"/>
        </w:rPr>
        <w:t xml:space="preserve">s spouse; or </w:t>
      </w:r>
    </w:p>
    <w:p w:rsidR="00F46346" w:rsidRDefault="00F46346" w:rsidP="00F46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18"/>
          <w:u w:color="000000" w:themeColor="text1"/>
        </w:rPr>
      </w:pPr>
      <w:r w:rsidRPr="006C60AF">
        <w:rPr>
          <w:color w:val="000000" w:themeColor="text1"/>
          <w:szCs w:val="18"/>
          <w:u w:color="000000" w:themeColor="text1"/>
        </w:rPr>
        <w:tab/>
      </w:r>
      <w:r w:rsidRPr="006C60AF">
        <w:rPr>
          <w:color w:val="000000" w:themeColor="text1"/>
          <w:szCs w:val="18"/>
          <w:u w:color="000000" w:themeColor="text1"/>
        </w:rPr>
        <w:tab/>
      </w:r>
      <w:r w:rsidRPr="00B8149D">
        <w:rPr>
          <w:strike/>
          <w:color w:val="000000" w:themeColor="text1"/>
          <w:szCs w:val="18"/>
          <w:u w:color="000000" w:themeColor="text1"/>
        </w:rPr>
        <w:t>(b)</w:t>
      </w:r>
      <w:r w:rsidRPr="006C60AF">
        <w:rPr>
          <w:color w:val="000000" w:themeColor="text1"/>
          <w:szCs w:val="18"/>
          <w:u w:color="000000" w:themeColor="text1"/>
        </w:rPr>
        <w:tab/>
      </w:r>
      <w:r w:rsidRPr="00B8149D">
        <w:rPr>
          <w:strike/>
          <w:color w:val="000000" w:themeColor="text1"/>
          <w:szCs w:val="18"/>
          <w:u w:color="000000" w:themeColor="text1"/>
        </w:rPr>
        <w:t>the distributee is the child or children of the decedent, the decedent did not have a spouse at the time of the decedent</w:t>
      </w:r>
      <w:r w:rsidRPr="006C60AF">
        <w:rPr>
          <w:strike/>
          <w:color w:val="000000" w:themeColor="text1"/>
          <w:szCs w:val="18"/>
          <w:u w:color="000000" w:themeColor="text1"/>
        </w:rPr>
        <w:t>’</w:t>
      </w:r>
      <w:r w:rsidRPr="00B8149D">
        <w:rPr>
          <w:strike/>
          <w:color w:val="000000" w:themeColor="text1"/>
          <w:szCs w:val="18"/>
          <w:u w:color="000000" w:themeColor="text1"/>
        </w:rPr>
        <w:t>s death, and the property is subject to the special four percent assessment ratio pursuant to Section 12</w:t>
      </w:r>
      <w:r>
        <w:rPr>
          <w:strike/>
          <w:color w:val="000000" w:themeColor="text1"/>
          <w:szCs w:val="18"/>
          <w:u w:color="000000" w:themeColor="text1"/>
        </w:rPr>
        <w:noBreakHyphen/>
      </w:r>
      <w:r w:rsidRPr="00B8149D">
        <w:rPr>
          <w:strike/>
          <w:color w:val="000000" w:themeColor="text1"/>
          <w:szCs w:val="18"/>
          <w:u w:color="000000" w:themeColor="text1"/>
        </w:rPr>
        <w:t>43</w:t>
      </w:r>
      <w:r>
        <w:rPr>
          <w:strike/>
          <w:color w:val="000000" w:themeColor="text1"/>
          <w:szCs w:val="18"/>
          <w:u w:color="000000" w:themeColor="text1"/>
        </w:rPr>
        <w:noBreakHyphen/>
      </w:r>
      <w:r w:rsidRPr="00B8149D">
        <w:rPr>
          <w:strike/>
          <w:color w:val="000000" w:themeColor="text1"/>
          <w:szCs w:val="18"/>
          <w:u w:color="000000" w:themeColor="text1"/>
        </w:rPr>
        <w:t>220(c), but a subsequent conveyance of this real property by the distributee child or children is not exempt from the provisions of this section;</w:t>
      </w:r>
      <w:r w:rsidRPr="00B8149D">
        <w:rPr>
          <w:color w:val="000000" w:themeColor="text1"/>
          <w:szCs w:val="18"/>
          <w:u w:color="000000" w:themeColor="text1"/>
        </w:rPr>
        <w:t xml:space="preserve"> </w:t>
      </w:r>
      <w:r w:rsidRPr="00B8149D">
        <w:rPr>
          <w:color w:val="000000" w:themeColor="text1"/>
          <w:szCs w:val="18"/>
          <w:u w:val="single" w:color="000000" w:themeColor="text1"/>
        </w:rPr>
        <w:t>Reserved</w:t>
      </w:r>
      <w:r w:rsidRPr="00B8149D">
        <w:rPr>
          <w:color w:val="000000" w:themeColor="text1"/>
          <w:szCs w:val="18"/>
          <w:u w:color="000000" w:themeColor="text1"/>
        </w:rPr>
        <w:t>”</w:t>
      </w:r>
    </w:p>
    <w:p w:rsidR="006C60AF" w:rsidRPr="00B8149D" w:rsidRDefault="006C60AF" w:rsidP="00F46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18"/>
          <w:u w:color="000000" w:themeColor="text1"/>
        </w:rPr>
      </w:pPr>
    </w:p>
    <w:p w:rsidR="00F46346" w:rsidRPr="00B8149D" w:rsidRDefault="006C60AF" w:rsidP="00F46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149D">
        <w:rPr>
          <w:color w:val="000000" w:themeColor="text1"/>
          <w:szCs w:val="18"/>
          <w:u w:color="000000" w:themeColor="text1"/>
        </w:rPr>
        <w:t>B.</w:t>
      </w:r>
      <w:r w:rsidRPr="00B8149D">
        <w:rPr>
          <w:color w:val="000000" w:themeColor="text1"/>
          <w:szCs w:val="18"/>
          <w:u w:color="000000" w:themeColor="text1"/>
        </w:rPr>
        <w:tab/>
      </w:r>
      <w:r w:rsidR="00F46346" w:rsidRPr="00B8149D">
        <w:rPr>
          <w:color w:val="000000" w:themeColor="text1"/>
          <w:u w:color="000000" w:themeColor="text1"/>
        </w:rPr>
        <w:t>Section 12</w:t>
      </w:r>
      <w:r w:rsidR="00F46346">
        <w:rPr>
          <w:color w:val="000000" w:themeColor="text1"/>
          <w:u w:color="000000" w:themeColor="text1"/>
        </w:rPr>
        <w:noBreakHyphen/>
      </w:r>
      <w:r w:rsidR="00F46346" w:rsidRPr="00B8149D">
        <w:rPr>
          <w:color w:val="000000" w:themeColor="text1"/>
          <w:u w:color="000000" w:themeColor="text1"/>
        </w:rPr>
        <w:t>37</w:t>
      </w:r>
      <w:r w:rsidR="00F46346">
        <w:rPr>
          <w:color w:val="000000" w:themeColor="text1"/>
          <w:u w:color="000000" w:themeColor="text1"/>
        </w:rPr>
        <w:noBreakHyphen/>
      </w:r>
      <w:r w:rsidR="00F46346" w:rsidRPr="00B8149D">
        <w:rPr>
          <w:color w:val="000000" w:themeColor="text1"/>
          <w:u w:color="000000" w:themeColor="text1"/>
        </w:rPr>
        <w:t>3150(B) of the 1976 Code</w:t>
      </w:r>
      <w:r w:rsidR="00F46346">
        <w:rPr>
          <w:color w:val="000000" w:themeColor="text1"/>
          <w:u w:color="000000" w:themeColor="text1"/>
        </w:rPr>
        <w:t>, as last amended</w:t>
      </w:r>
      <w:r w:rsidR="00F46346" w:rsidRPr="00B8149D">
        <w:rPr>
          <w:color w:val="000000" w:themeColor="text1"/>
          <w:u w:color="000000" w:themeColor="text1"/>
        </w:rPr>
        <w:t xml:space="preserve"> by</w:t>
      </w:r>
      <w:r w:rsidR="00F46346">
        <w:rPr>
          <w:color w:val="000000" w:themeColor="text1"/>
          <w:u w:color="000000" w:themeColor="text1"/>
        </w:rPr>
        <w:t xml:space="preserve"> Act 275 of 2010, is further amended by</w:t>
      </w:r>
      <w:r w:rsidR="00F46346" w:rsidRPr="00B8149D">
        <w:rPr>
          <w:color w:val="000000" w:themeColor="text1"/>
          <w:u w:color="000000" w:themeColor="text1"/>
        </w:rPr>
        <w:t xml:space="preserve"> adding an appropriately numbered item at the end to read:</w:t>
      </w:r>
    </w:p>
    <w:p w:rsidR="00F46346" w:rsidRPr="00B8149D" w:rsidRDefault="00F46346" w:rsidP="00F46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46346" w:rsidRPr="00B8149D" w:rsidRDefault="00F46346" w:rsidP="00F46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18"/>
          <w:u w:color="000000" w:themeColor="text1"/>
        </w:rPr>
      </w:pPr>
      <w:r w:rsidRPr="00B8149D">
        <w:rPr>
          <w:color w:val="000000" w:themeColor="text1"/>
          <w:u w:color="000000" w:themeColor="text1"/>
        </w:rPr>
        <w:tab/>
        <w:t>“(  )</w:t>
      </w:r>
      <w:r w:rsidRPr="00B8149D">
        <w:rPr>
          <w:color w:val="000000" w:themeColor="text1"/>
          <w:u w:color="000000" w:themeColor="text1"/>
        </w:rPr>
        <w:tab/>
      </w:r>
      <w:r w:rsidRPr="00B8149D">
        <w:rPr>
          <w:color w:val="000000" w:themeColor="text1"/>
          <w:szCs w:val="18"/>
          <w:u w:color="000000" w:themeColor="text1"/>
        </w:rPr>
        <w:t>a conveyance by distribution under a will or by intestate succession.”</w:t>
      </w:r>
    </w:p>
    <w:p w:rsidR="006C60AF" w:rsidRDefault="006C60AF" w:rsidP="006C60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18"/>
          <w:u w:color="000000" w:themeColor="text1"/>
        </w:rPr>
      </w:pPr>
    </w:p>
    <w:p w:rsidR="0010776B" w:rsidRDefault="006C60AF" w:rsidP="006C60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szCs w:val="18"/>
          <w:u w:color="000000" w:themeColor="text1"/>
        </w:rPr>
        <w:t>SECTION</w:t>
      </w:r>
      <w:r>
        <w:rPr>
          <w:color w:val="000000" w:themeColor="text1"/>
          <w:szCs w:val="18"/>
          <w:u w:color="000000" w:themeColor="text1"/>
        </w:rPr>
        <w:tab/>
        <w:t>3.</w:t>
      </w:r>
      <w:r>
        <w:rPr>
          <w:color w:val="000000" w:themeColor="text1"/>
          <w:szCs w:val="18"/>
          <w:u w:color="000000" w:themeColor="text1"/>
        </w:rPr>
        <w:tab/>
        <w:t>This act takes effect upon approval by the Governor and applies to property tax years beginning after 2011.</w:t>
      </w:r>
    </w:p>
    <w:p w:rsidR="001E48E4" w:rsidRDefault="006C60A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E48E4" w:rsidRDefault="001E48E4" w:rsidP="001E48E4">
      <w:pPr>
        <w:suppressAutoHyphens/>
      </w:pPr>
    </w:p>
    <w:sectPr w:rsidR="001E48E4" w:rsidSect="001E48E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93F4E" w:rsidRDefault="00593F4E" w:rsidP="009F0C77">
      <w:r>
        <w:separator/>
      </w:r>
    </w:p>
  </w:endnote>
  <w:endnote w:type="continuationSeparator" w:id="0">
    <w:p w:rsidR="00593F4E" w:rsidRDefault="00593F4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640A8CC-4B9D-4AD2-9F33-627B78243626}"/>
    <w:embedBold r:id="rId2" w:fontKey="{5B869331-794A-447E-A389-AB50C13E90E4}"/>
  </w:font>
  <w:font w:name="Calibri">
    <w:panose1 w:val="020F0502020204030204"/>
    <w:charset w:val="00"/>
    <w:family w:val="swiss"/>
    <w:pitch w:val="variable"/>
    <w:sig w:usb0="A00002EF" w:usb1="4000207B" w:usb2="00000000" w:usb3="00000000" w:csb0="0000009F" w:csb1="00000000"/>
    <w:embedRegular r:id="rId3" w:fontKey="{53ABB091-CEA4-4013-A2C5-79F1DEA04DD6}"/>
  </w:font>
  <w:font w:name="Cambria">
    <w:panose1 w:val="02040503050406030204"/>
    <w:charset w:val="00"/>
    <w:family w:val="roman"/>
    <w:pitch w:val="variable"/>
    <w:sig w:usb0="A00002EF" w:usb1="4000004B" w:usb2="00000000" w:usb3="00000000" w:csb0="0000009F" w:csb1="00000000"/>
    <w:embedRegular r:id="rId4" w:fontKey="{62EBA889-6BE3-40C8-B0E5-281C22D9B89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4CCD" w:rsidRPr="001E48E4" w:rsidRDefault="001E48E4" w:rsidP="001E48E4">
    <w:pPr>
      <w:pStyle w:val="Footer"/>
      <w:tabs>
        <w:tab w:val="clear" w:pos="4680"/>
        <w:tab w:val="clear" w:pos="9360"/>
        <w:tab w:val="center" w:pos="2995"/>
      </w:tabs>
      <w:spacing w:before="120"/>
    </w:pPr>
    <w:r>
      <w:t>[1453]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93F4E" w:rsidRDefault="00593F4E" w:rsidP="009F0C77">
      <w:r>
        <w:separator/>
      </w:r>
    </w:p>
  </w:footnote>
  <w:footnote w:type="continuationSeparator" w:id="0">
    <w:p w:rsidR="00593F4E" w:rsidRDefault="00593F4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2356DG12"/>
    <w:docVar w:name="CoverBillType" w:val="b"/>
    <w:docVar w:name="docpath" w:val="L:\Council\bills\NBD\12356DG12.DOCX"/>
    <w:docVar w:name="dvBillNumber" w:val="1453"/>
    <w:docVar w:name="dvBillNumberPrefix" w:val="S. "/>
    <w:docVar w:name="dvOriginalBody" w:val="Senate"/>
    <w:docVar w:name="dvSteno" w:val="NBD"/>
    <w:docVar w:name="NameofBody" w:val="s"/>
    <w:docVar w:name="vgroup2" w:val="Council"/>
  </w:docVars>
  <w:rsids>
    <w:rsidRoot w:val="00674FFB"/>
    <w:rsid w:val="00026C9A"/>
    <w:rsid w:val="000965A1"/>
    <w:rsid w:val="000E1785"/>
    <w:rsid w:val="001023A4"/>
    <w:rsid w:val="0010776B"/>
    <w:rsid w:val="00133E66"/>
    <w:rsid w:val="00134ACF"/>
    <w:rsid w:val="00144E15"/>
    <w:rsid w:val="001A4A62"/>
    <w:rsid w:val="001A681E"/>
    <w:rsid w:val="001D08F2"/>
    <w:rsid w:val="001E48E4"/>
    <w:rsid w:val="002037CA"/>
    <w:rsid w:val="002047A2"/>
    <w:rsid w:val="002321B6"/>
    <w:rsid w:val="0023696B"/>
    <w:rsid w:val="00250967"/>
    <w:rsid w:val="002759C5"/>
    <w:rsid w:val="00277DEE"/>
    <w:rsid w:val="00280D88"/>
    <w:rsid w:val="00294ABE"/>
    <w:rsid w:val="002A3EB4"/>
    <w:rsid w:val="00325348"/>
    <w:rsid w:val="00393688"/>
    <w:rsid w:val="003B4A60"/>
    <w:rsid w:val="003D411E"/>
    <w:rsid w:val="003E3C1E"/>
    <w:rsid w:val="003E6148"/>
    <w:rsid w:val="00400EAA"/>
    <w:rsid w:val="0041760A"/>
    <w:rsid w:val="004729A6"/>
    <w:rsid w:val="004809EE"/>
    <w:rsid w:val="00511EE9"/>
    <w:rsid w:val="00521E00"/>
    <w:rsid w:val="00577C6C"/>
    <w:rsid w:val="0058501B"/>
    <w:rsid w:val="00593F4E"/>
    <w:rsid w:val="006215AA"/>
    <w:rsid w:val="006340D9"/>
    <w:rsid w:val="00643B8E"/>
    <w:rsid w:val="00665EBC"/>
    <w:rsid w:val="00674FFB"/>
    <w:rsid w:val="0069470D"/>
    <w:rsid w:val="006A476C"/>
    <w:rsid w:val="006C60AF"/>
    <w:rsid w:val="006C6A93"/>
    <w:rsid w:val="006E02F9"/>
    <w:rsid w:val="006E5CAA"/>
    <w:rsid w:val="00753C04"/>
    <w:rsid w:val="00756946"/>
    <w:rsid w:val="00757F80"/>
    <w:rsid w:val="00771EEC"/>
    <w:rsid w:val="00786819"/>
    <w:rsid w:val="007A325A"/>
    <w:rsid w:val="007F1523"/>
    <w:rsid w:val="007F509E"/>
    <w:rsid w:val="007F5799"/>
    <w:rsid w:val="007F6947"/>
    <w:rsid w:val="00872729"/>
    <w:rsid w:val="008F4429"/>
    <w:rsid w:val="009352BB"/>
    <w:rsid w:val="00990668"/>
    <w:rsid w:val="009F0C77"/>
    <w:rsid w:val="009F4DD1"/>
    <w:rsid w:val="00A64E80"/>
    <w:rsid w:val="00A741D9"/>
    <w:rsid w:val="00A9741D"/>
    <w:rsid w:val="00AC4CCD"/>
    <w:rsid w:val="00AD4B17"/>
    <w:rsid w:val="00B26FA6"/>
    <w:rsid w:val="00B741CB"/>
    <w:rsid w:val="00B934F3"/>
    <w:rsid w:val="00BB6347"/>
    <w:rsid w:val="00BD2134"/>
    <w:rsid w:val="00C038D8"/>
    <w:rsid w:val="00C045DD"/>
    <w:rsid w:val="00C3136F"/>
    <w:rsid w:val="00C3483A"/>
    <w:rsid w:val="00C52983"/>
    <w:rsid w:val="00C74E9D"/>
    <w:rsid w:val="00C82FD3"/>
    <w:rsid w:val="00CC6B7B"/>
    <w:rsid w:val="00CC72CC"/>
    <w:rsid w:val="00CD3619"/>
    <w:rsid w:val="00CF4447"/>
    <w:rsid w:val="00D405E7"/>
    <w:rsid w:val="00D41D56"/>
    <w:rsid w:val="00D6260D"/>
    <w:rsid w:val="00D6662B"/>
    <w:rsid w:val="00D95E2F"/>
    <w:rsid w:val="00D970A9"/>
    <w:rsid w:val="00DB3AC0"/>
    <w:rsid w:val="00DE68F0"/>
    <w:rsid w:val="00DF3845"/>
    <w:rsid w:val="00DF7E17"/>
    <w:rsid w:val="00E77F84"/>
    <w:rsid w:val="00EB00A2"/>
    <w:rsid w:val="00EB1BF3"/>
    <w:rsid w:val="00EF3EEE"/>
    <w:rsid w:val="00F149A7"/>
    <w:rsid w:val="00F46346"/>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03A777-9A6C-4214-BADA-5520429E1C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340</Words>
  <Characters>1942</Characters>
  <Application>Microsoft Office Word</Application>
  <DocSecurity>0</DocSecurity>
  <Lines>16</Lines>
  <Paragraphs>4</Paragraphs>
  <ScaleCrop>false</ScaleCrop>
  <Company> </Company>
  <LinksUpToDate>false</LinksUpToDate>
  <CharactersWithSpaces>2278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dcterms:created xsi:type="dcterms:W3CDTF">2012-04-18T18:22:00Z</dcterms:created>
  <dcterms:modified xsi:type="dcterms:W3CDTF">2012-04-18T18:22:00Z</dcterms:modified>
</cp:coreProperties>
</file>