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7C6" w:rsidRDefault="00DC57C6" w:rsidP="002A3EB4">
      <w:pPr>
        <w:pStyle w:val="BillDots"/>
      </w:pPr>
      <w:r>
        <w:t>INTRODUCED</w:t>
      </w:r>
    </w:p>
    <w:p w:rsidR="00DC57C6" w:rsidRDefault="00DC57C6" w:rsidP="002A3EB4">
      <w:pPr>
        <w:pStyle w:val="BillDots"/>
      </w:pPr>
      <w:r>
        <w:t>February 3, 2011</w:t>
      </w:r>
    </w:p>
    <w:p w:rsidR="00DC57C6" w:rsidRDefault="00DC57C6" w:rsidP="002A3EB4">
      <w:pPr>
        <w:pStyle w:val="BillDots"/>
      </w:pPr>
    </w:p>
    <w:p w:rsidR="00DC57C6" w:rsidRPr="00DC57C6" w:rsidRDefault="00DC57C6" w:rsidP="00DC57C6">
      <w:pPr>
        <w:pStyle w:val="BillDots"/>
        <w:tabs>
          <w:tab w:val="clear" w:pos="216"/>
          <w:tab w:val="clear" w:pos="432"/>
          <w:tab w:val="clear" w:pos="648"/>
          <w:tab w:val="clear" w:pos="864"/>
          <w:tab w:val="clear" w:pos="1080"/>
          <w:tab w:val="clear" w:pos="1296"/>
          <w:tab w:val="clear" w:pos="5904"/>
          <w:tab w:val="right" w:pos="5933"/>
        </w:tabs>
      </w:pPr>
      <w:r>
        <w:tab/>
      </w:r>
      <w:r>
        <w:rPr>
          <w:b/>
          <w:sz w:val="36"/>
        </w:rPr>
        <w:t>S. 213</w:t>
      </w:r>
    </w:p>
    <w:p w:rsidR="00DC57C6" w:rsidRDefault="00DC57C6" w:rsidP="002A3EB4">
      <w:pPr>
        <w:pStyle w:val="BillDots"/>
      </w:pPr>
    </w:p>
    <w:p w:rsidR="00DC57C6" w:rsidRDefault="00DC57C6" w:rsidP="00DC57C6">
      <w:pPr>
        <w:pStyle w:val="BillDots"/>
        <w:jc w:val="center"/>
      </w:pPr>
      <w:r>
        <w:t>Introduced by Senators McConnell, Campsen and Knotts</w:t>
      </w:r>
    </w:p>
    <w:p w:rsidR="00DC57C6" w:rsidRDefault="00DC57C6" w:rsidP="002A3EB4">
      <w:pPr>
        <w:pStyle w:val="BillDots"/>
      </w:pPr>
    </w:p>
    <w:p w:rsidR="00DC57C6" w:rsidRDefault="00DC57C6" w:rsidP="002A3EB4">
      <w:pPr>
        <w:pStyle w:val="BillDots"/>
      </w:pPr>
      <w:r>
        <w:t>S. Printed 2/3/11--H.</w:t>
      </w:r>
    </w:p>
    <w:p w:rsidR="00DC57C6" w:rsidRDefault="00DC57C6" w:rsidP="002A3EB4">
      <w:pPr>
        <w:pStyle w:val="BillDots"/>
      </w:pPr>
      <w:r>
        <w:t>Read the first time February 3, 2011.</w:t>
      </w:r>
    </w:p>
    <w:p w:rsidR="00DC57C6" w:rsidRPr="00DC57C6" w:rsidRDefault="00DC57C6" w:rsidP="00DC57C6">
      <w:pPr>
        <w:pStyle w:val="BillDots"/>
        <w:jc w:val="center"/>
      </w:pPr>
      <w:r>
        <w:rPr>
          <w:u w:val="single"/>
        </w:rPr>
        <w:t>            </w:t>
      </w:r>
    </w:p>
    <w:p w:rsidR="00DC57C6" w:rsidRDefault="00DC57C6" w:rsidP="002A3EB4">
      <w:pPr>
        <w:pStyle w:val="BillDots"/>
      </w:pPr>
    </w:p>
    <w:p w:rsidR="00E03847" w:rsidRDefault="00E03847" w:rsidP="002A3EB4">
      <w:pPr>
        <w:pStyle w:val="BillDots"/>
        <w:sectPr w:rsidR="00E03847" w:rsidSect="00E038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1E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DIRECT THE SOUTH CAROLINA CODE COMMISSIONER TO INCLUDE BEGINNING WITH THE 2011 CUMULATIVE SUPPLEMENT TO THE CODE OF LAWS</w:t>
      </w:r>
      <w:r w:rsidR="002A3DE5">
        <w:t xml:space="preserve"> OF SOUTH CAROLINA</w:t>
      </w:r>
      <w:r>
        <w:t>, 1976, CERTAIN REPORTER</w:t>
      </w:r>
      <w:r w:rsidR="00D3291E" w:rsidRPr="00D3291E">
        <w:t>’</w:t>
      </w:r>
      <w:r>
        <w:t>S COMMENTS IN REGARD TO VARIOUS PROVISIONS OF THE SOUTH CAROLINA PROBATE CODE IN TITLE 62, AMENDED BY ACT 244 OF 2010.</w:t>
      </w:r>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3F4B">
        <w:t>The General Assembly finds that by Act 244 of 2010, the General Assembly enacted various statutory changes to the South Carolina Probate Code as contained in Title 62.  The South Carolina Probate Code as originally enacted in 1986 contained Reporter</w:t>
      </w:r>
      <w:r w:rsidR="00D3291E" w:rsidRPr="00D3291E">
        <w:t>’</w:t>
      </w:r>
      <w:r w:rsidR="008D3F4B">
        <w:t>s Comments</w:t>
      </w:r>
      <w:r w:rsidR="008D3F4B" w:rsidRPr="00EF678E">
        <w:t xml:space="preserve"> </w:t>
      </w:r>
      <w:r w:rsidR="00EF678E">
        <w:t>after mo</w:t>
      </w:r>
      <w:r w:rsidR="008D3F4B" w:rsidRPr="00EF678E">
        <w:t xml:space="preserve">st </w:t>
      </w:r>
      <w:r w:rsidR="008D3F4B">
        <w:t>sections further explaining the intent and effect of those sections which has been of great assistance to the</w:t>
      </w:r>
      <w:r w:rsidR="002A3DE5">
        <w:t xml:space="preserve"> South Carolina</w:t>
      </w:r>
      <w:r w:rsidR="008D3F4B">
        <w:t xml:space="preserve"> </w:t>
      </w:r>
      <w:r w:rsidR="002A3DE5">
        <w:t xml:space="preserve">Bar </w:t>
      </w:r>
      <w:r w:rsidR="008D3F4B">
        <w:t>and general public.  Due to time constraints, it was not possible to complete Reporter</w:t>
      </w:r>
      <w:r w:rsidR="00D3291E" w:rsidRPr="00D3291E">
        <w:t>’</w:t>
      </w:r>
      <w:r w:rsidR="008D3F4B">
        <w:t>s Comments to the code sections amended by Act 244 of 2010, but through the efforts of the South Carolina Bar these comments have been completed and offered to the General Assembly by the South Carolina Bar for such use as the General Assembly considers appropriate.</w:t>
      </w:r>
      <w:r w:rsidR="003C6F2E">
        <w:t xml:space="preserve"> In accepting these Reporter’s Comments for use and publication in the manner provided</w:t>
      </w:r>
      <w:r w:rsidR="00FD4F51">
        <w:t xml:space="preserve"> by</w:t>
      </w:r>
      <w:r w:rsidR="003C6F2E">
        <w:t xml:space="preserve"> this act, the General Assembly expresses its thanks to the South Carolina Bar and its member attorneys for their diligence and professionalism in developing and preparing these comments.</w:t>
      </w:r>
    </w:p>
    <w:p w:rsidR="008D3F4B" w:rsidRDefault="008D3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F4B" w:rsidRDefault="008D3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South Carolina Code Commissioner is directed to include </w:t>
      </w:r>
      <w:r w:rsidR="006A11D6">
        <w:t xml:space="preserve">beginning with the 2011 Cumulative Supplement to the Code of Laws of South Carolina, 1976, the following South </w:t>
      </w:r>
      <w:r w:rsidR="006A11D6">
        <w:lastRenderedPageBreak/>
        <w:t>Carolina Reporter</w:t>
      </w:r>
      <w:r w:rsidR="00D3291E" w:rsidRPr="00D3291E">
        <w:t>’</w:t>
      </w:r>
      <w:r w:rsidR="006A11D6">
        <w:t xml:space="preserve">s Comments to the provisions of Title 62 (the South Carolina Probate Code), amended by Act 244 of 2010.  The formatting and location of these comments </w:t>
      </w:r>
      <w:r w:rsidR="002A3DE5">
        <w:t>shall</w:t>
      </w:r>
      <w:r w:rsidR="006A11D6">
        <w:t xml:space="preserve"> be as the Code Commissioner determines.  Those comments are as follows:</w:t>
      </w:r>
    </w:p>
    <w:p w:rsidR="006A11D6" w:rsidRDefault="006A1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w:t>
      </w:r>
      <w:r w:rsidRPr="00A961CD">
        <w:rPr>
          <w:color w:val="000000" w:themeColor="text1"/>
          <w:u w:val="single" w:color="000000" w:themeColor="text1"/>
        </w:rPr>
        <w:t>South Carolina Comments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General Definitions.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certain definitions in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i.e., “application” in item (1), “formal proceedings” in item (15), “informal proceedings” in item (19), “petition” in item (31), and “testacy proceeding” in item (43),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w:t>
      </w:r>
      <w:r w:rsidR="00205D43">
        <w:rPr>
          <w:color w:val="000000" w:themeColor="text1"/>
          <w:u w:color="000000" w:themeColor="text1"/>
        </w:rPr>
        <w:t xml:space="preserve">.  </w:t>
      </w:r>
      <w:r w:rsidRPr="00A961CD">
        <w:rPr>
          <w:color w:val="000000" w:themeColor="text1"/>
          <w:u w:color="000000" w:themeColor="text1"/>
        </w:rPr>
        <w:t>See S.C. Code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 also see,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w:t>
      </w:r>
      <w:r w:rsidR="00205D43">
        <w:rPr>
          <w:color w:val="000000" w:themeColor="text1"/>
          <w:u w:color="000000" w:themeColor="text1"/>
        </w:rPr>
        <w:t>ith the provisions of the Code)</w:t>
      </w:r>
      <w:r w:rsidRPr="00A961CD">
        <w:rPr>
          <w:color w:val="000000" w:themeColor="text1"/>
          <w:u w:color="000000" w:themeColor="text1"/>
        </w:rPr>
        <w:t xml:space="preserve">.  </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w:t>
      </w:r>
      <w:r w:rsidR="00205D43">
        <w:rPr>
          <w:color w:val="000000" w:themeColor="text1"/>
          <w:u w:color="000000" w:themeColor="text1"/>
        </w:rPr>
        <w:t xml:space="preserve">.  </w:t>
      </w:r>
      <w:r w:rsidRPr="00A961CD">
        <w:rPr>
          <w:color w:val="000000" w:themeColor="text1"/>
          <w:u w:color="000000" w:themeColor="text1"/>
        </w:rPr>
        <w:t xml:space="preserve">The vast majority of proceedings in probate court are “informal proceedings” commenced by application.  Unlike a petition, an application does not require a summons.  Refer to 2010 amendments to certain definitions in this section.  Where applicable and appropriate, the 2010 amendments expand the matters in which an application may be utilized.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Practice in Court.</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and essentially rewrote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in order to clarify that “formal proceedings” are governed by and subject to the rules of civil procedure adopted for the circuit court [SCRCP] and other rules of procedure in this title and that the SCRCP also govern formal proceedings and commencement of same.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 see also,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w:t>
      </w:r>
      <w:r w:rsidR="00205D43">
        <w:rPr>
          <w:color w:val="000000" w:themeColor="text1"/>
          <w:u w:color="000000" w:themeColor="text1"/>
        </w:rPr>
        <w:t>.</w:t>
      </w:r>
      <w:r w:rsidRPr="00A961CD">
        <w:rPr>
          <w:color w:val="000000" w:themeColor="text1"/>
          <w:u w:color="000000" w:themeColor="text1"/>
        </w:rPr>
        <w:t xml:space="preserve">  </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401.  Notice; method and time of giving.</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subsection (d) to clarify and avoid confusion that previously existed regarding the notice provisions in this section.  The effect of the 2010 amendment was intended to make it clear that the notice provisions in this section are not intended to and do not constitute a summons, which is required for a petition in formal proceedings.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304, and Rules 1 and 81, SCRCP </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403.  Pleadings; when parties bound by others; notice.</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subsections (1) and (3) to clarify procedure for a formal proceeding, which requires a summons and petition to commence a formal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304, and Rules 1 and 81, SCRCP.  The 2010 amendment also revised subsection (2)(ii)   to delete “parent” and replace it with “person,” so that it is consistent with the remainder of that subsection and also delete “child” and replace it with “issue” to be broader and more inclusive.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2</w:t>
      </w:r>
      <w:r w:rsidR="00D3291E">
        <w:rPr>
          <w:color w:val="000000" w:themeColor="text1"/>
          <w:u w:color="000000" w:themeColor="text1"/>
        </w:rPr>
        <w:noBreakHyphen/>
      </w:r>
      <w:r w:rsidRPr="00A961CD">
        <w:rPr>
          <w:color w:val="000000" w:themeColor="text1"/>
          <w:u w:color="000000" w:themeColor="text1"/>
        </w:rPr>
        <w:t>205.  Proceedings for elective share; time limit.</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by deleting “mailing or delivering” and replacing it with “serving upon” and also adding “summons and” to clarify that a summons and petition are required to commence a formal proceeding, including a formal proceeding for elective share.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2</w:t>
      </w:r>
      <w:r w:rsidR="00D3291E">
        <w:rPr>
          <w:color w:val="000000" w:themeColor="text1"/>
          <w:u w:color="000000" w:themeColor="text1"/>
        </w:rPr>
        <w:noBreakHyphen/>
      </w:r>
      <w:r w:rsidRPr="00A961CD">
        <w:rPr>
          <w:color w:val="000000" w:themeColor="text1"/>
          <w:u w:color="000000" w:themeColor="text1"/>
        </w:rPr>
        <w:t>402.  Source, determination, and documentation.</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D43"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by deleting “petition” and replacing it with “make application,” so that the personal representative or any interested person as referred to in this section can make application to the probate court</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201 (1).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203.  Priority among persons seeking appointment as personal representative.</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(d) to eliminate certain language as to “priority resulting from renunciation or waiver,” and adding “or informal” proceedings.  The prior version of subsection (d) provided for only a formal proceeding.  The 2010 amendment allows one who does not have priority to pursue either a formal proceeding (requiring summons and petition) or an informal proceeding (does not require summons and petition) for appointment</w:t>
      </w:r>
      <w:r w:rsidR="00205D43">
        <w:rPr>
          <w:color w:val="000000" w:themeColor="text1"/>
          <w:u w:color="000000" w:themeColor="text1"/>
        </w:rPr>
        <w:t xml:space="preserve">.  </w:t>
      </w:r>
      <w:r w:rsidRPr="00A961CD">
        <w:rPr>
          <w:color w:val="000000" w:themeColor="text1"/>
          <w:u w:color="000000" w:themeColor="text1"/>
        </w:rPr>
        <w:t>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201 (1).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401.  Formal testacy proceedings; nature; when commenced.</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“may” and replaced it with “must” and added “and serving a summons” to clarify that a summons and petition are required to commence a formal proceeding, including a formal testacy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D43"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403.  Formal testacy proceeding; notice of hearing on petition.</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add “or at any time after that,” to delete Notice at the beginning of the third sentence and replacing it with “The following persons” and also including the requirement for a summons and petition.  The 2010 amendment also revised subsection (b) to clarify that a summons and petition are required to commence a formal proceeding, including a formal testacy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409.  Formal testacy proceedings; order; foreign will.</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delete “After the time required for any notice has expired, upon” at the beginning and replace it with “Upon” proof of “service of the summons and petition” and also included the notice requirement for any hearing.  The foregoing amendment was intended to clarify that a summons and petition are required to commence a formal proceeding, including a formal testacy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414.  Formal proceedings concerning appointment of personal representative.</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(b) to delete “notice” and replace it with “service of the summons and petition” to clarify that a summons and petition are required to commence a formal proceeding, including a formal proceeding concerning appointment of a personal representative as referred to in this section</w:t>
      </w:r>
      <w:r w:rsidR="00205D43">
        <w:rPr>
          <w:color w:val="000000" w:themeColor="text1"/>
          <w:u w:color="000000" w:themeColor="text1"/>
        </w:rPr>
        <w:t xml:space="preserve">.  </w:t>
      </w:r>
      <w:r w:rsidRPr="00A961CD">
        <w:rPr>
          <w:color w:val="000000" w:themeColor="text1"/>
          <w:u w:color="000000" w:themeColor="text1"/>
        </w:rPr>
        <w:t>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502.  Administration under Part 5 [Sections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501 et seq.]; petition; order.</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add “service of the summons and petition and upon” in the fourth sentence to clarify that a summons and petition and notice of any hearing are required for a formal proceeding for administration under Part 5</w:t>
      </w:r>
      <w:r w:rsidR="00205D43">
        <w:rPr>
          <w:color w:val="000000" w:themeColor="text1"/>
          <w:u w:color="000000" w:themeColor="text1"/>
        </w:rPr>
        <w:t xml:space="preserve">.  </w:t>
      </w:r>
      <w:r w:rsidRPr="00A961CD">
        <w:rPr>
          <w:color w:val="000000" w:themeColor="text1"/>
          <w:u w:color="000000" w:themeColor="text1"/>
        </w:rPr>
        <w:t>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D43"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503. Administration under Part 5 [Sections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501 et seq.]; effect on other proceedings.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“he has received” and added “service of the summons and petition upon the personal representative and” to the first sentence to clarify that a summons and petition are required to commence a formal proceeding, including a formal proceeding under Part 5.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05D43"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604.  Bond amount; security; procedure; reduction.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deleted </w:t>
      </w:r>
      <w:r w:rsidR="009A46C4">
        <w:rPr>
          <w:color w:val="000000" w:themeColor="text1"/>
          <w:u w:color="000000" w:themeColor="text1"/>
        </w:rPr>
        <w:t>“</w:t>
      </w:r>
      <w:r w:rsidRPr="00A961CD">
        <w:rPr>
          <w:color w:val="000000" w:themeColor="text1"/>
          <w:u w:color="000000" w:themeColor="text1"/>
        </w:rPr>
        <w:t>On petition of” at the beginning of the last sentence and added “Upon application by” to allow the personal representative or another interested person to make application to the probate court regarding bond matters as outlined in this section</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  The 2010 amendment also added “upon the court</w:t>
      </w:r>
      <w:r w:rsidR="00D3291E" w:rsidRPr="00D3291E">
        <w:rPr>
          <w:color w:val="000000" w:themeColor="text1"/>
          <w:u w:color="000000" w:themeColor="text1"/>
        </w:rPr>
        <w:t>’</w:t>
      </w:r>
      <w:r w:rsidRPr="00A961CD">
        <w:rPr>
          <w:color w:val="000000" w:themeColor="text1"/>
          <w:u w:color="000000" w:themeColor="text1"/>
        </w:rPr>
        <w:t>s own motion” in the last sentence.</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607.  Order restraining personal representative.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“On petition” at the beginning of this section and replaced it with “Upon application” so that any person who appears to have an interest in the estate can make application to the probate court to restrain a personal representative</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201 (1).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611.  Termination of appointment by removal; cause; procedure.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“service of the summons and petition upon the personal representative and” in the fourth sentence to clarify that a summons and petition are required to commence a formal proceeding, including a formal proceeding to remove a personal representative.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806.  Allowance of claims.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“service of” and “summons and” in the first sentence to clarify that a summons and petition are required to commence a formal proceeding, including a formal proceeding for allowance of claims.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added “of hearing” after “Notice” in the last sentence to clarify the notice of hearing requirements referred to in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401.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911.  Partition for purpose of distribution.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“service of summons and petition and after” in the second sentence to clarify that a summons and petition are required to commence a formal proceeding, including a formal proceeding for purpose of distribution and to make partition.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1001.  Required filings with court; petition for order compelling personal representative to perform duties; court orders.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subsections (3) and (4) to conform to current practice allowing the personal representative to pursue informal proceedings to close the estate by filing an application rather than a petition</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  The 2010 amendment also revised subsection (4)(c ) to delete “on appropriate conditions, determining testacy, determining the persons entitled to distribution of the estate, and, as circumstances require,” and adding “in accordance with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401 in the last sentence to clarify procedure</w:t>
      </w:r>
      <w:r w:rsidR="00205D43">
        <w:rPr>
          <w:color w:val="000000" w:themeColor="text1"/>
          <w:u w:color="000000" w:themeColor="text1"/>
        </w:rPr>
        <w:t>.</w:t>
      </w:r>
      <w:r w:rsidRPr="00A961CD">
        <w:rPr>
          <w:color w:val="000000" w:themeColor="text1"/>
          <w:u w:color="000000" w:themeColor="text1"/>
        </w:rPr>
        <w:t xml:space="preserve">  The 2010 amendment added “of hearing” in subsection (d) to clarify the notice of hearing requirements referred to in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401.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1008.  Subsequent administration.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“petition” and replaced it with “application” to allow any interested person to make application for a subsequent administration</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w:t>
      </w:r>
      <w:r w:rsidR="00205D43">
        <w:rPr>
          <w:color w:val="000000" w:themeColor="text1"/>
          <w:u w:color="000000" w:themeColor="text1"/>
        </w:rPr>
        <w:t xml:space="preserve">.  </w:t>
      </w:r>
      <w:r w:rsidRPr="00A961CD">
        <w:rPr>
          <w:color w:val="000000" w:themeColor="text1"/>
          <w:u w:color="000000" w:themeColor="text1"/>
        </w:rPr>
        <w:t>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1101.  Effect of approval of agreements involving trusts, inalienable interests, or interests of third persons.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“in a formal proceeding in” and replaced the foregoing with “by” and deleted “for that purpose” and replaced it with “after hearing.”   The intention of the amendment was to require court approval in an informal proceeding after hearing</w:t>
      </w:r>
      <w:r w:rsidR="00205D43">
        <w:rPr>
          <w:color w:val="000000" w:themeColor="text1"/>
          <w:u w:color="000000" w:themeColor="text1"/>
        </w:rPr>
        <w:t xml:space="preserve">.  </w:t>
      </w:r>
      <w:r w:rsidRPr="00A961CD">
        <w:rPr>
          <w:color w:val="000000" w:themeColor="text1"/>
          <w:u w:color="000000" w:themeColor="text1"/>
        </w:rPr>
        <w:t>See §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1102 regarding application procedure for approval of compromise and certain agreements.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1102.  Procedure for securing court approval of compromise.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(3) to delete “After” at the beginning and replaces it with “Upon application to the court and after” to allow application to the probate court to secure court approval of a compromise</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1309.  Time for return; sale of real estate after hearing and notice.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delete “for return” in the first sentence and replace it with “to answer or otherwise respond by motion to the summons and petition, delete “make a return” and replace it with “answer or otherwise respond by motion,” add “subsequent pleadings,” and delete “return” and replace it with “motions” in the second sentence  The foregoing 2010 amendment is intended to clarify that an answer or other response to a summons and petition must be served in an action to sell real estate, which is a formal proceeding as referred to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(15).</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101.  Definitions and use of terms.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(5) to add “formal” before proceeding to clarify that a guardianship proceeding is a formal proceeding as referred to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(15).</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303.  Procedure for court appointment of a guardian of an incapacitated person.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delete “any” and replace it with “a” and revise subsection (b) to add “and service” and “the summons and the” in the first sentence to clarify that a summons and petition are required in a formal proceeding, including a guardianship proceeding</w:t>
      </w:r>
      <w:r w:rsidR="00205D43">
        <w:rPr>
          <w:color w:val="000000" w:themeColor="text1"/>
          <w:u w:color="000000" w:themeColor="text1"/>
        </w:rPr>
        <w:t xml:space="preserve">.  </w:t>
      </w:r>
      <w:r w:rsidRPr="00A961CD">
        <w:rPr>
          <w:color w:val="000000" w:themeColor="text1"/>
          <w:u w:color="000000" w:themeColor="text1"/>
        </w:rPr>
        <w:t>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305.  Acceptance of appointment; consent to jurisdiction.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by adding “first class” to clarify that the mailing requirement for notice to any guardian as referred to in this section must be by “first class” mail.</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307.  Removal or resignation of guardian; termination of incapacity.</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delete “On” and replace it with “After service of the summons and” at the beginning of the first sentence.  The intention of the amendment to subsection (a) was to clarify that a summons and petition are required in a formal proceeding, including a guardianship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also revised subsection (b) to delete “or any person interested in his welfare,” delete “petition” and replace it with “make a request,” add “from the court, and delete “or resignation.”  The intention of the amendment to subsection (b) was to allow only the ward to make a request for an order from the court to request that he is no longer incapacitated and to remove the guardian, which request may be made by informal letter to the court or judge.  </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also revised subsection (c) to add “or request” after petition.  The 2010 amendment to subsection (c) was to make a corresponding reference to a “request” as referred to in subsection (b).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309.  Notices in guardianship proceedings.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add “that is properly commenced by filing and service of the summons and petition”, delete “notice of hearing,” adding “the following persons,” deleting “given to each of the following”, and adding “properly served.”  The intention of the amendment to subsection (A) was to clarify that a summons and petition are required to commence a formal proceeding, including a formal proceeding for guardianship, and also that certain persons must be properly served with the summons and petition.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revised subsection (B) to delete “must be served personally on the alleged incapacitated person and his spouse and parents if they are found within the state.  Notice to the spouse and parents, if they cannot be found within the State, and to all other persons except the alleged incapacitated person” and add “of hearing” to clarify that the notice, which is a notice of hearing, must be given as referred to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401.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310.  Temporary guardians.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(A)(3) and (B)(2) to add “petition or” before notice and add “petition and” in subsection (D).  The intention of the 2010 amendment was to clarify that a summons and petition are required to commence a formal proceeding, including a formal proceeding for temporary guardianship.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revised subsection (C) by deleting “If” at the beginning  and replacing it with “The court may itself exercise the power of temporary guardian, with or without petition or notice, if,” deleting “then the court may itself exercise the power of a temporary guardian, with or without notice” from subsection (C)(4), and renumbering (C).  The intention of the latter amendment was to allow the court, with or without petition or notice, to appoint and exercise the power of a temporary guardian, if the court makes certain emergency preliminary findings.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401. Protective proceedings.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the first sentence in this section to delete “Upon” and replace it with “After service of the summons and,” delete “after” and “and,” add “of” to clarify that a summons and petition are required to commence a formal proceeding, including a formal proceeding for appointment of a conservator or other protective order.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402.  Protective proceedings; jurisdiction of affairs of protected persons.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the first sentence to delete “notice” and replace it with “the summons and petition,” add “summons and,” delete “is” and replace it with “are” to clarify that a summons and petition are required to commence a formal proceeding, including a formal proceeding for appointment of a conservator or other protective order.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405.  Notice.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extensively revised the first sentence of subsection (a) to delete “On a” and replace it with “After filing of the summons and the,” delete “notice of the proceedings at least 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added a new last sentence regarding waiver by the person to be protected</w:t>
      </w:r>
      <w:r w:rsidR="00205D43">
        <w:rPr>
          <w:color w:val="000000" w:themeColor="text1"/>
          <w:u w:color="000000" w:themeColor="text1"/>
        </w:rPr>
        <w:t xml:space="preserve">.  </w:t>
      </w:r>
      <w:r w:rsidRPr="00A961CD">
        <w:rPr>
          <w:color w:val="000000" w:themeColor="text1"/>
          <w:u w:color="000000" w:themeColor="text1"/>
        </w:rPr>
        <w:t>The latter amendment and new sentence were added to clarify and provide that waiver of notice of hearing by the protected person is not effective unless he attends the hearing or waiver of notice is given by his attorney.</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407.  Procedure concerning hearing and order on original petition.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411. Bond.</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move the term “shall” in the first sentence, which made no substantive change.  The 2010 amend</w:t>
      </w:r>
      <w:r w:rsidR="00D3291E">
        <w:rPr>
          <w:color w:val="000000" w:themeColor="text1"/>
          <w:u w:color="000000" w:themeColor="text1"/>
        </w:rPr>
        <w:t>ment also revised the next to l</w:t>
      </w:r>
      <w:r w:rsidRPr="00A961CD">
        <w:rPr>
          <w:color w:val="000000" w:themeColor="text1"/>
          <w:u w:color="000000" w:themeColor="text1"/>
        </w:rPr>
        <w:t>ast sentence to delete “On petition” and replace it with “Upon application.”  The 2010 amendment also added a new sentence at the end allowing the conservator or another interested person to make application for an informal proceeding regarding bond and also to allow the court on its own motion to pursue matters regarding the bond as set forth in this section</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412.  Terms and requirements of bonds.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(a)(3) to delete “On” at the beginning and replace it with “After service of a summons and” to clarify that a summons and petition are required to commence a formal proceeding , including a formal proceeding regarding bond matters as set forth in this section.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revised subsection (a)(3) to add “or upon the court</w:t>
      </w:r>
      <w:r w:rsidR="00D3291E" w:rsidRPr="00D3291E">
        <w:rPr>
          <w:color w:val="000000" w:themeColor="text1"/>
          <w:u w:color="000000" w:themeColor="text1"/>
        </w:rPr>
        <w:t>’</w:t>
      </w:r>
      <w:r w:rsidRPr="00A961CD">
        <w:rPr>
          <w:color w:val="000000" w:themeColor="text1"/>
          <w:u w:color="000000" w:themeColor="text1"/>
        </w:rPr>
        <w:t xml:space="preserve">s own motion”  so the court could pursue such a proceeding by way of motion.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416.  Petitions for orders subsequent to appointment.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delete “Any” and replace it with “Upon filing a petition and summons with the appointing court” and also delete “file a petition in the appointment court in order to clarify that a summons and petition are required to commence a formal proceeding, including formal proceeding by an interested person for certain requests subsequent to appointment as set forth in this section.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 xml:space="preserve">The 2010 amendment also revised subsection (b) by deleting “A conservator may petition” and replacing it with “Upon application to,” deleting “for” and adding “a conservator may request,” and adding a new sentence at the end of subsection (b).  The latter amendment was intended to allow the conservator to request instructions concerning his fiduciary responsibility by making application and clarifies the effect of a denial by the court.  The 2010 amendment also revised subsection (c) to provide for notice and hearing as the court may direct.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419.  Accounts.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by changing “must” to “shall” in the first sentence, deleting “Subject to appeal within the same time permitted” and replacing it with “Upon the filing and service of summons and petition for approval of accounting,”   as well as certain grammatical changes thereafter to clarify that a summons and petition are required to commence a formal proceeding, including a formal proceeding for court approval of an intermediate and final account</w:t>
      </w:r>
      <w:r w:rsidR="00205D43">
        <w:rPr>
          <w:color w:val="000000" w:themeColor="text1"/>
          <w:u w:color="000000" w:themeColor="text1"/>
        </w:rPr>
        <w:t xml:space="preserve">.  </w:t>
      </w:r>
      <w:r w:rsidRPr="00A961CD">
        <w:rPr>
          <w:color w:val="000000" w:themeColor="text1"/>
          <w:u w:color="000000" w:themeColor="text1"/>
        </w:rPr>
        <w:t>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428.  Claims against protected person; enforcement.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renumber and also clarify that a summons and petition are required to commence a formal proceeding, including a formal proceeding seeking allowance of a claim before it is barred by the applicable statute of limitations.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430.  Termination of proceeding.</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essentially rewrote this section to divide it into two subsections.  Subsection (A) clarifies that a summons and petition are required to commence a formal proceeding, including a formal proceeding to terminate the conservatorship when the disability of the protected person has ceased and procedure for same.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Subsection (B) allows the protected person, his personal representative, or the conservator to terminate the conservatorship by way of an application, instead of a petition, when the protected person has attained his majority or if the protected person is deceased.  Unlike a petition, an application does not require a summons and petition.  See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501. When power of attorney not affected by disability.</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(B) to require “petitioning” rather than “applying” to the court as the method for a person or his representative to have a guardian or conservator appointed.  A petition requires a summons.  See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(15) and (31)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504.  Health care power of attorney; definitions; form.</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subsection (H) to allow the health care provider, nursing care provider, agent, or other interested person to “apply,” rather than “petition,” the probate court for an order.  An “application” is defined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201(1) and does not require a summons or petition.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604.  Persons who may file petition for appointment.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clarify that a summons and petition are required to commence a formal proceeding, including a proceeding for appointment of a guardian under the Uniform Veteran</w:t>
      </w:r>
      <w:r w:rsidR="00D3291E" w:rsidRPr="00D3291E">
        <w:rPr>
          <w:color w:val="000000" w:themeColor="text1"/>
          <w:u w:color="000000" w:themeColor="text1"/>
        </w:rPr>
        <w:t>’</w:t>
      </w:r>
      <w:r w:rsidRPr="00A961CD">
        <w:rPr>
          <w:color w:val="000000" w:themeColor="text1"/>
          <w:u w:color="000000" w:themeColor="text1"/>
        </w:rPr>
        <w:t>s Guardianship Act as contained in Part 6.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608.  Notice of petition.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clarify that a summons and petition are required in a formal proceeding, including a proceeding for appointment of a guardian under the Uniform Veteran</w:t>
      </w:r>
      <w:r w:rsidR="00D3291E" w:rsidRPr="00D3291E">
        <w:rPr>
          <w:color w:val="000000" w:themeColor="text1"/>
          <w:u w:color="000000" w:themeColor="text1"/>
        </w:rPr>
        <w:t>’</w:t>
      </w:r>
      <w:r w:rsidRPr="00A961CD">
        <w:rPr>
          <w:color w:val="000000" w:themeColor="text1"/>
          <w:u w:color="000000" w:themeColor="text1"/>
        </w:rPr>
        <w:t>s Guardianship Act as contained in Part 6.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304, and Rules 1 and 81, SCRCP.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703.  General duties; relation and liability to persons interested in estate; standing to sue.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(a), changed the reference from 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933 to 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804, which was made necessary by the adoption of the South Carolina Trust Code.</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105.  Default and mandatory rules.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color="000000" w:themeColor="text1"/>
        </w:rPr>
        <w:t>The 2010 amendment, in subsection (b), added a new subsection (b)(6) to provide that the limitations imposed by 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602(e) on an agent</w:t>
      </w:r>
      <w:r w:rsidR="00D3291E" w:rsidRPr="00D3291E">
        <w:rPr>
          <w:color w:val="000000" w:themeColor="text1"/>
          <w:u w:color="000000" w:themeColor="text1"/>
        </w:rPr>
        <w:t>’</w:t>
      </w:r>
      <w:r w:rsidRPr="00A961CD">
        <w:rPr>
          <w:color w:val="000000" w:themeColor="text1"/>
          <w:u w:color="000000" w:themeColor="text1"/>
        </w:rPr>
        <w:t>s ability to alter a settlor</w:t>
      </w:r>
      <w:r w:rsidR="00D3291E" w:rsidRPr="00D3291E">
        <w:rPr>
          <w:color w:val="000000" w:themeColor="text1"/>
          <w:u w:color="000000" w:themeColor="text1"/>
        </w:rPr>
        <w:t>’</w:t>
      </w:r>
      <w:r w:rsidRPr="00A961CD">
        <w:rPr>
          <w:color w:val="000000" w:themeColor="text1"/>
          <w:u w:color="000000" w:themeColor="text1"/>
        </w:rPr>
        <w:t>s existing estate plan will prevail over the trust terms. This was added to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105(b) to synthesize it with 602(e) because while 602(e) authorizes a settlor</w:t>
      </w:r>
      <w:r w:rsidR="00D3291E" w:rsidRPr="00D3291E">
        <w:rPr>
          <w:color w:val="000000" w:themeColor="text1"/>
          <w:u w:color="000000" w:themeColor="text1"/>
        </w:rPr>
        <w:t>’</w:t>
      </w:r>
      <w:r w:rsidRPr="00A961CD">
        <w:rPr>
          <w:color w:val="000000" w:themeColor="text1"/>
          <w:u w:color="000000" w:themeColor="text1"/>
        </w:rPr>
        <w:t>s agent to revoke, amend or make distributions from a revocable trust, as a matter of policy it specifically prohibits the agent from altering the designation of beneficiaries. The remaining subsections were renumbered accordingly.</w:t>
      </w:r>
      <w:r w:rsidRPr="00A961CD">
        <w:rPr>
          <w:color w:val="000000" w:themeColor="text1"/>
          <w:u w:val="single" w:color="000000" w:themeColor="text1"/>
        </w:rPr>
        <w:t xml:space="preserve"> </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201.  Role of court in administration of trust.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(a), changed the reference from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302(c) to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302(d), which was made necessary by the adoption of the South Carolina Trust Code.</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303.  Representation by fiduciaries and parents.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in subsection (a)(6), deleted the term </w:t>
      </w:r>
      <w:r w:rsidR="00D3291E" w:rsidRPr="00D3291E">
        <w:rPr>
          <w:color w:val="000000" w:themeColor="text1"/>
          <w:u w:color="000000" w:themeColor="text1"/>
        </w:rPr>
        <w:t>‘</w:t>
      </w:r>
      <w:r w:rsidRPr="00A961CD">
        <w:rPr>
          <w:color w:val="000000" w:themeColor="text1"/>
          <w:u w:color="000000" w:themeColor="text1"/>
        </w:rPr>
        <w:t>parent</w:t>
      </w:r>
      <w:r w:rsidR="00D3291E" w:rsidRPr="00D3291E">
        <w:rPr>
          <w:color w:val="000000" w:themeColor="text1"/>
          <w:u w:color="000000" w:themeColor="text1"/>
        </w:rPr>
        <w:t>’</w:t>
      </w:r>
      <w:r w:rsidRPr="00A961CD">
        <w:rPr>
          <w:color w:val="000000" w:themeColor="text1"/>
          <w:u w:color="000000" w:themeColor="text1"/>
        </w:rPr>
        <w:t xml:space="preserve"> and replaced it with the term </w:t>
      </w:r>
      <w:r w:rsidR="00D3291E" w:rsidRPr="00D3291E">
        <w:rPr>
          <w:color w:val="000000" w:themeColor="text1"/>
          <w:u w:color="000000" w:themeColor="text1"/>
        </w:rPr>
        <w:t>‘</w:t>
      </w:r>
      <w:r w:rsidRPr="00A961CD">
        <w:rPr>
          <w:color w:val="000000" w:themeColor="text1"/>
          <w:u w:color="000000" w:themeColor="text1"/>
        </w:rPr>
        <w:t>person</w:t>
      </w:r>
      <w:r w:rsidR="00D3291E" w:rsidRPr="00D3291E">
        <w:rPr>
          <w:color w:val="000000" w:themeColor="text1"/>
          <w:u w:color="000000" w:themeColor="text1"/>
        </w:rPr>
        <w:t>’</w:t>
      </w:r>
      <w:r w:rsidRPr="00A961CD">
        <w:rPr>
          <w:color w:val="000000" w:themeColor="text1"/>
          <w:u w:color="000000" w:themeColor="text1"/>
        </w:rPr>
        <w:t xml:space="preserve"> so that it is consistent with the remainder of the Section and with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403, and deleted the term </w:t>
      </w:r>
      <w:r w:rsidR="00D3291E" w:rsidRPr="00D3291E">
        <w:rPr>
          <w:color w:val="000000" w:themeColor="text1"/>
          <w:u w:color="000000" w:themeColor="text1"/>
        </w:rPr>
        <w:t>‘</w:t>
      </w:r>
      <w:r w:rsidRPr="00A961CD">
        <w:rPr>
          <w:color w:val="000000" w:themeColor="text1"/>
          <w:u w:color="000000" w:themeColor="text1"/>
        </w:rPr>
        <w:t>child</w:t>
      </w:r>
      <w:r w:rsidR="00D3291E" w:rsidRPr="00D3291E">
        <w:rPr>
          <w:color w:val="000000" w:themeColor="text1"/>
          <w:u w:color="000000" w:themeColor="text1"/>
        </w:rPr>
        <w:t>’</w:t>
      </w:r>
      <w:r w:rsidRPr="00A961CD">
        <w:rPr>
          <w:color w:val="000000" w:themeColor="text1"/>
          <w:u w:color="000000" w:themeColor="text1"/>
        </w:rPr>
        <w:t xml:space="preserve"> and replaced it with the term </w:t>
      </w:r>
      <w:r w:rsidR="00D3291E" w:rsidRPr="00D3291E">
        <w:rPr>
          <w:color w:val="000000" w:themeColor="text1"/>
          <w:u w:color="000000" w:themeColor="text1"/>
        </w:rPr>
        <w:t>‘</w:t>
      </w:r>
      <w:r w:rsidRPr="00A961CD">
        <w:rPr>
          <w:color w:val="000000" w:themeColor="text1"/>
          <w:u w:color="000000" w:themeColor="text1"/>
        </w:rPr>
        <w:t>issue</w:t>
      </w:r>
      <w:r w:rsidR="00D3291E" w:rsidRPr="00D3291E">
        <w:rPr>
          <w:color w:val="000000" w:themeColor="text1"/>
          <w:u w:color="000000" w:themeColor="text1"/>
        </w:rPr>
        <w:t>’</w:t>
      </w:r>
      <w:r w:rsidRPr="00A961CD">
        <w:rPr>
          <w:color w:val="000000" w:themeColor="text1"/>
          <w:u w:color="000000" w:themeColor="text1"/>
        </w:rPr>
        <w:t xml:space="preserve"> to be more broad and inclusive, as intended by the Section.</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305.  Appointment of representative.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changed the term </w:t>
      </w:r>
      <w:r w:rsidR="00D3291E" w:rsidRPr="00D3291E">
        <w:rPr>
          <w:color w:val="000000" w:themeColor="text1"/>
          <w:u w:color="000000" w:themeColor="text1"/>
        </w:rPr>
        <w:t>‘</w:t>
      </w:r>
      <w:r w:rsidRPr="00A961CD">
        <w:rPr>
          <w:color w:val="000000" w:themeColor="text1"/>
          <w:u w:color="000000" w:themeColor="text1"/>
        </w:rPr>
        <w:t>ascertained</w:t>
      </w:r>
      <w:r w:rsidR="00D3291E" w:rsidRPr="00D3291E">
        <w:rPr>
          <w:color w:val="000000" w:themeColor="text1"/>
          <w:u w:color="000000" w:themeColor="text1"/>
        </w:rPr>
        <w:t>’</w:t>
      </w:r>
      <w:r w:rsidRPr="00A961CD">
        <w:rPr>
          <w:color w:val="000000" w:themeColor="text1"/>
          <w:u w:color="000000" w:themeColor="text1"/>
        </w:rPr>
        <w:t xml:space="preserve"> to the term </w:t>
      </w:r>
      <w:r w:rsidR="00D3291E" w:rsidRPr="00D3291E">
        <w:rPr>
          <w:color w:val="000000" w:themeColor="text1"/>
          <w:u w:color="000000" w:themeColor="text1"/>
        </w:rPr>
        <w:t>‘</w:t>
      </w:r>
      <w:r w:rsidRPr="00A961CD">
        <w:rPr>
          <w:color w:val="000000" w:themeColor="text1"/>
          <w:u w:color="000000" w:themeColor="text1"/>
        </w:rPr>
        <w:t>unascertained</w:t>
      </w:r>
      <w:r w:rsidR="00D3291E" w:rsidRPr="00D3291E">
        <w:rPr>
          <w:color w:val="000000" w:themeColor="text1"/>
          <w:u w:color="000000" w:themeColor="text1"/>
        </w:rPr>
        <w:t>’</w:t>
      </w:r>
      <w:r w:rsidRPr="00A961CD">
        <w:rPr>
          <w:color w:val="000000" w:themeColor="text1"/>
          <w:u w:color="000000" w:themeColor="text1"/>
        </w:rPr>
        <w:t>.</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414.  Modification or termination of uneconomic trust.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in subsection (a) and (c), clarifies and confirms that court approval is not required under the circumstances described in subsection (a).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505.  Creditors</w:t>
      </w:r>
      <w:r w:rsidR="00D3291E" w:rsidRPr="00D3291E">
        <w:rPr>
          <w:color w:val="000000" w:themeColor="text1"/>
          <w:u w:color="000000" w:themeColor="text1"/>
        </w:rPr>
        <w:t>’</w:t>
      </w:r>
      <w:r w:rsidRPr="00A961CD">
        <w:rPr>
          <w:color w:val="000000" w:themeColor="text1"/>
          <w:u w:color="000000" w:themeColor="text1"/>
        </w:rPr>
        <w:t xml:space="preserve"> claims against settlor.</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(a), changed the phrasing of the subsection to clarify the exemption language.  In subsection (b), ascertainable standard is re</w:t>
      </w:r>
      <w:r w:rsidR="00D3291E">
        <w:rPr>
          <w:color w:val="000000" w:themeColor="text1"/>
          <w:u w:color="000000" w:themeColor="text1"/>
        </w:rPr>
        <w:noBreakHyphen/>
      </w:r>
      <w:r w:rsidRPr="00A961CD">
        <w:rPr>
          <w:color w:val="000000" w:themeColor="text1"/>
          <w:u w:color="000000" w:themeColor="text1"/>
        </w:rPr>
        <w:t xml:space="preserve">worded to read </w:t>
      </w:r>
      <w:r w:rsidR="00D3291E" w:rsidRPr="00D3291E">
        <w:rPr>
          <w:color w:val="000000" w:themeColor="text1"/>
          <w:u w:color="000000" w:themeColor="text1"/>
        </w:rPr>
        <w:t>‘</w:t>
      </w:r>
      <w:r w:rsidRPr="00A961CD">
        <w:rPr>
          <w:color w:val="000000" w:themeColor="text1"/>
          <w:u w:color="000000" w:themeColor="text1"/>
        </w:rPr>
        <w:t>health, education maintenance or support</w:t>
      </w:r>
      <w:r w:rsidR="00D3291E" w:rsidRPr="00D3291E">
        <w:rPr>
          <w:color w:val="000000" w:themeColor="text1"/>
          <w:u w:color="000000" w:themeColor="text1"/>
        </w:rPr>
        <w:t>’</w:t>
      </w:r>
      <w:r w:rsidRPr="00A961CD">
        <w:rPr>
          <w:color w:val="000000" w:themeColor="text1"/>
          <w:u w:color="000000" w:themeColor="text1"/>
        </w:rPr>
        <w:t xml:space="preserve"> rather than </w:t>
      </w:r>
      <w:r w:rsidR="00D3291E" w:rsidRPr="00D3291E">
        <w:rPr>
          <w:color w:val="000000" w:themeColor="text1"/>
          <w:u w:color="000000" w:themeColor="text1"/>
        </w:rPr>
        <w:t>‘</w:t>
      </w:r>
      <w:r w:rsidRPr="00A961CD">
        <w:rPr>
          <w:color w:val="000000" w:themeColor="text1"/>
          <w:u w:color="000000" w:themeColor="text1"/>
        </w:rPr>
        <w:t>and support</w:t>
      </w:r>
      <w:r w:rsidR="00D3291E" w:rsidRPr="00D3291E">
        <w:rPr>
          <w:color w:val="000000" w:themeColor="text1"/>
          <w:u w:color="000000" w:themeColor="text1"/>
        </w:rPr>
        <w:t>’</w:t>
      </w:r>
      <w:r w:rsidRPr="00A961CD">
        <w:rPr>
          <w:color w:val="000000" w:themeColor="text1"/>
          <w:u w:color="000000" w:themeColor="text1"/>
        </w:rPr>
        <w: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Further, the references to “subsection (b)(1)” in the South Carolina Comment should be changed to “subsection (b)” except where it is used in regard to UTC subsection (b)(1).  The change affects the first and fourth references to (b)(1) in the second paragraph of the South Carolina Comment.</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604.  Limitation on action contesting validity of revocable trust; distribution of trust property.</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changed the time period for contesting the validity of a trust instrument from 60 days to 120 days in subsection (a)(2) and (b)(2).  </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change of the time period is intended to be prospective, rather than retroactive.  Any period of limitation which had commenced to run before the effective date would continue to apply.</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709.  Reimbursement of expenses.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a new subsection (c) to clarify that a prospective trustee may be paid from trust assets for investigation into serving as a trustee.</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814.  Discretionary powers; tax savings.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(b), corrected a typographical error by changing the reference from subsection (d) to subsection (c).</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902.  Definitions.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(9), changed the phrasing of the definition but made no substantive changes.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903.  Allocation of receipts and disbursements.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in subsection (A), corrected a typographical error by changing the term </w:t>
      </w:r>
      <w:r w:rsidR="00D3291E" w:rsidRPr="00D3291E">
        <w:rPr>
          <w:color w:val="000000" w:themeColor="text1"/>
          <w:u w:color="000000" w:themeColor="text1"/>
        </w:rPr>
        <w:t>‘</w:t>
      </w:r>
      <w:r w:rsidRPr="00A961CD">
        <w:rPr>
          <w:color w:val="000000" w:themeColor="text1"/>
          <w:u w:color="000000" w:themeColor="text1"/>
        </w:rPr>
        <w:t>and</w:t>
      </w:r>
      <w:r w:rsidR="00D3291E" w:rsidRPr="00D3291E">
        <w:rPr>
          <w:color w:val="000000" w:themeColor="text1"/>
          <w:u w:color="000000" w:themeColor="text1"/>
        </w:rPr>
        <w:t>’</w:t>
      </w:r>
      <w:r w:rsidRPr="00A961CD">
        <w:rPr>
          <w:color w:val="000000" w:themeColor="text1"/>
          <w:u w:color="000000" w:themeColor="text1"/>
        </w:rPr>
        <w:t xml:space="preserve"> to the term </w:t>
      </w:r>
      <w:r w:rsidR="00D3291E" w:rsidRPr="00D3291E">
        <w:rPr>
          <w:color w:val="000000" w:themeColor="text1"/>
          <w:u w:color="000000" w:themeColor="text1"/>
        </w:rPr>
        <w:t>‘</w:t>
      </w:r>
      <w:r w:rsidRPr="00A961CD">
        <w:rPr>
          <w:color w:val="000000" w:themeColor="text1"/>
          <w:u w:color="000000" w:themeColor="text1"/>
        </w:rPr>
        <w:t>through</w:t>
      </w:r>
      <w:r w:rsidR="00D3291E" w:rsidRPr="00D3291E">
        <w:rPr>
          <w:color w:val="000000" w:themeColor="text1"/>
          <w:u w:color="000000" w:themeColor="text1"/>
        </w:rPr>
        <w:t>’</w:t>
      </w:r>
      <w:r w:rsidRPr="00A961CD">
        <w:rPr>
          <w:color w:val="000000" w:themeColor="text1"/>
          <w:u w:color="000000" w:themeColor="text1"/>
        </w:rPr>
        <w:t>.</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904.  Adjustments between principal and income.</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(B)(7), corrected a typographical error by deleting the phrase “, or prohibit him from,”.</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933.  Uniform Prudent Investor Act.</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(C)(3), changed the phrasing of the subsection to clarify that the reasonable care, skill and caution standard is superimposed on the trustee</w:t>
      </w:r>
      <w:r w:rsidR="00D3291E" w:rsidRPr="00D3291E">
        <w:rPr>
          <w:color w:val="000000" w:themeColor="text1"/>
          <w:u w:color="000000" w:themeColor="text1"/>
        </w:rPr>
        <w:t>’</w:t>
      </w:r>
      <w:r w:rsidRPr="00A961CD">
        <w:rPr>
          <w:color w:val="000000" w:themeColor="text1"/>
          <w:u w:color="000000" w:themeColor="text1"/>
        </w:rPr>
        <w:t>s considerations.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1013.  Certification of trust.</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8D3F4B"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1CD">
        <w:rPr>
          <w:color w:val="000000" w:themeColor="text1"/>
          <w:u w:color="000000" w:themeColor="text1"/>
        </w:rPr>
        <w:t>The 2010 amendment deleted the reference in former subsection (a)(7) to a taxpayer identification number.  Also, the 2010 amendment added a new subsection (j) to require that in transactions involving real property the Certification of Trust must be in recordable form and renumbered the remaining subsections accordingly.  Further, the 2010 amendment changed the phrasing of new subsection (k) to require that the Certification of Trust be in a form substantially the same as the model form.</w:t>
      </w:r>
      <w:r>
        <w:rPr>
          <w:color w:val="000000" w:themeColor="text1"/>
          <w:u w:color="000000" w:themeColor="text1"/>
        </w:rPr>
        <w:t>”</w:t>
      </w:r>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11D6">
        <w:t>3</w:t>
      </w:r>
      <w:r>
        <w:t>.</w:t>
      </w:r>
      <w:r>
        <w:tab/>
        <w:t>This act takes effect upon approval by the Governor.</w:t>
      </w:r>
    </w:p>
    <w:p w:rsidR="00EB4942" w:rsidRDefault="00D3291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942" w:rsidRDefault="00EB4942" w:rsidP="00997A8F">
      <w:pPr>
        <w:suppressAutoHyphens/>
      </w:pPr>
    </w:p>
    <w:sectPr w:rsidR="00EB4942" w:rsidSect="00E038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6C4" w:rsidRDefault="009A46C4" w:rsidP="009F0C77">
      <w:r>
        <w:separator/>
      </w:r>
    </w:p>
  </w:endnote>
  <w:endnote w:type="continuationSeparator" w:id="0">
    <w:p w:rsidR="009A46C4" w:rsidRDefault="009A46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AA195A-FF11-4143-9216-FB0D0CB4711A}"/>
    <w:embedBold r:id="rId2" w:fontKey="{4B92C39A-0179-4DAB-9988-5773A5C93E5B}"/>
  </w:font>
  <w:font w:name="Calibri">
    <w:panose1 w:val="020F0502020204030204"/>
    <w:charset w:val="00"/>
    <w:family w:val="swiss"/>
    <w:pitch w:val="variable"/>
    <w:sig w:usb0="A00002EF" w:usb1="4000207B" w:usb2="00000000" w:usb3="00000000" w:csb0="0000009F" w:csb1="00000000"/>
    <w:embedRegular r:id="rId3" w:fontKey="{A5DBA4D9-17D2-4145-B724-48F604029855}"/>
  </w:font>
  <w:font w:name="Cambria">
    <w:panose1 w:val="02040503050406030204"/>
    <w:charset w:val="00"/>
    <w:family w:val="roman"/>
    <w:pitch w:val="variable"/>
    <w:sig w:usb0="A00002EF" w:usb1="4000004B" w:usb2="00000000" w:usb3="00000000" w:csb0="0000009F" w:csb1="00000000"/>
    <w:embedRegular r:id="rId4" w:fontKey="{F1671200-4FDC-481A-A52D-79633669DE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465" w:rsidRPr="00EB4942" w:rsidRDefault="00EB4942" w:rsidP="00EB4942">
    <w:pPr>
      <w:pStyle w:val="Footer"/>
      <w:tabs>
        <w:tab w:val="clear" w:pos="4680"/>
        <w:tab w:val="clear" w:pos="9360"/>
        <w:tab w:val="center" w:pos="2995"/>
      </w:tabs>
      <w:spacing w:before="120"/>
    </w:pPr>
    <w:r>
      <w:t>[213</w:t>
    </w:r>
    <w:r w:rsidR="00E03847">
      <w:t>-</w:t>
    </w:r>
    <w:fldSimple w:instr=" PAGE  \* MERGEFORMAT ">
      <w:r w:rsidR="00997A8F">
        <w:rPr>
          <w:noProof/>
        </w:rPr>
        <w:t>1</w:t>
      </w:r>
    </w:fldSimple>
    <w:r w:rsidR="00E038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847" w:rsidRPr="00EB4942" w:rsidRDefault="00E03847" w:rsidP="00EB4942">
    <w:pPr>
      <w:pStyle w:val="Footer"/>
      <w:tabs>
        <w:tab w:val="clear" w:pos="4680"/>
        <w:tab w:val="clear" w:pos="9360"/>
        <w:tab w:val="center" w:pos="2995"/>
      </w:tabs>
      <w:spacing w:before="120"/>
    </w:pPr>
    <w:r>
      <w:t>[213]</w:t>
    </w:r>
    <w:r>
      <w:tab/>
    </w:r>
    <w:fldSimple w:instr=" PAGE  \* MERGEFORMAT ">
      <w:r w:rsidR="00997A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6C4" w:rsidRDefault="009A46C4" w:rsidP="009F0C77">
      <w:r>
        <w:separator/>
      </w:r>
    </w:p>
  </w:footnote>
  <w:footnote w:type="continuationSeparator" w:id="0">
    <w:p w:rsidR="009A46C4" w:rsidRDefault="009A46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10SD11"/>
    <w:docVar w:name="CoverBillType" w:val="b"/>
    <w:docVar w:name="docpath" w:val="L:\Council\bills\DKA\3010SD11.DOCX"/>
    <w:docVar w:name="dvBillNumber" w:val="213"/>
    <w:docVar w:name="dvBillNumberPrefix" w:val="S. "/>
    <w:docVar w:name="dvOriginalBody" w:val="Senate"/>
    <w:docVar w:name="dvSteno" w:val="DKA"/>
    <w:docVar w:name="NameofBody" w:val="s"/>
    <w:docVar w:name="vgroup2" w:val="Council"/>
  </w:docVars>
  <w:rsids>
    <w:rsidRoot w:val="00771502"/>
    <w:rsid w:val="00026C9A"/>
    <w:rsid w:val="000965A1"/>
    <w:rsid w:val="000E1785"/>
    <w:rsid w:val="001023A4"/>
    <w:rsid w:val="0010776B"/>
    <w:rsid w:val="00133E66"/>
    <w:rsid w:val="00134ACF"/>
    <w:rsid w:val="00144E15"/>
    <w:rsid w:val="001A4A62"/>
    <w:rsid w:val="001A681E"/>
    <w:rsid w:val="001D08F2"/>
    <w:rsid w:val="002037CA"/>
    <w:rsid w:val="002047A2"/>
    <w:rsid w:val="00205D43"/>
    <w:rsid w:val="002321B6"/>
    <w:rsid w:val="0023696B"/>
    <w:rsid w:val="00250967"/>
    <w:rsid w:val="002759C5"/>
    <w:rsid w:val="00277DEE"/>
    <w:rsid w:val="00280D88"/>
    <w:rsid w:val="00294ABE"/>
    <w:rsid w:val="002A3DE5"/>
    <w:rsid w:val="002A3EB4"/>
    <w:rsid w:val="00325348"/>
    <w:rsid w:val="00357A00"/>
    <w:rsid w:val="00393688"/>
    <w:rsid w:val="003C6F2E"/>
    <w:rsid w:val="003D411E"/>
    <w:rsid w:val="003E3C1E"/>
    <w:rsid w:val="003E6148"/>
    <w:rsid w:val="00400EAA"/>
    <w:rsid w:val="0041760A"/>
    <w:rsid w:val="004809EE"/>
    <w:rsid w:val="00490768"/>
    <w:rsid w:val="004D094A"/>
    <w:rsid w:val="00511EE9"/>
    <w:rsid w:val="00521E00"/>
    <w:rsid w:val="00577C6C"/>
    <w:rsid w:val="0058501B"/>
    <w:rsid w:val="006215AA"/>
    <w:rsid w:val="006340D9"/>
    <w:rsid w:val="00643B8E"/>
    <w:rsid w:val="00655AD5"/>
    <w:rsid w:val="00665EBC"/>
    <w:rsid w:val="00693465"/>
    <w:rsid w:val="0069470D"/>
    <w:rsid w:val="006A11D6"/>
    <w:rsid w:val="006A476C"/>
    <w:rsid w:val="006C6A93"/>
    <w:rsid w:val="006E02F9"/>
    <w:rsid w:val="00753C04"/>
    <w:rsid w:val="00756946"/>
    <w:rsid w:val="00757F80"/>
    <w:rsid w:val="00771502"/>
    <w:rsid w:val="00771EEC"/>
    <w:rsid w:val="00786819"/>
    <w:rsid w:val="007A325A"/>
    <w:rsid w:val="007F1523"/>
    <w:rsid w:val="007F509E"/>
    <w:rsid w:val="007F5799"/>
    <w:rsid w:val="007F6947"/>
    <w:rsid w:val="00805C19"/>
    <w:rsid w:val="00807FE1"/>
    <w:rsid w:val="00872729"/>
    <w:rsid w:val="008D3F4B"/>
    <w:rsid w:val="008F4429"/>
    <w:rsid w:val="009352BB"/>
    <w:rsid w:val="00990668"/>
    <w:rsid w:val="00997A8F"/>
    <w:rsid w:val="009A46C4"/>
    <w:rsid w:val="009F0C77"/>
    <w:rsid w:val="009F4DD1"/>
    <w:rsid w:val="00A20C2E"/>
    <w:rsid w:val="00A64E80"/>
    <w:rsid w:val="00A741D9"/>
    <w:rsid w:val="00A8499F"/>
    <w:rsid w:val="00A91E52"/>
    <w:rsid w:val="00A9741D"/>
    <w:rsid w:val="00AA309E"/>
    <w:rsid w:val="00AD4B17"/>
    <w:rsid w:val="00B26FA6"/>
    <w:rsid w:val="00B741CB"/>
    <w:rsid w:val="00B934F3"/>
    <w:rsid w:val="00BA57AB"/>
    <w:rsid w:val="00BB6347"/>
    <w:rsid w:val="00BD2134"/>
    <w:rsid w:val="00C038D8"/>
    <w:rsid w:val="00C045DD"/>
    <w:rsid w:val="00C3136F"/>
    <w:rsid w:val="00C3483A"/>
    <w:rsid w:val="00C43788"/>
    <w:rsid w:val="00C74E9D"/>
    <w:rsid w:val="00C82FD3"/>
    <w:rsid w:val="00CC6B7B"/>
    <w:rsid w:val="00CD3619"/>
    <w:rsid w:val="00CF4447"/>
    <w:rsid w:val="00D3291E"/>
    <w:rsid w:val="00D36A29"/>
    <w:rsid w:val="00D405E7"/>
    <w:rsid w:val="00D41D56"/>
    <w:rsid w:val="00D6260D"/>
    <w:rsid w:val="00D6662B"/>
    <w:rsid w:val="00D95E2F"/>
    <w:rsid w:val="00D970A9"/>
    <w:rsid w:val="00DB3AC0"/>
    <w:rsid w:val="00DC31B9"/>
    <w:rsid w:val="00DC57C6"/>
    <w:rsid w:val="00DE68F0"/>
    <w:rsid w:val="00DF3845"/>
    <w:rsid w:val="00DF7E17"/>
    <w:rsid w:val="00E03847"/>
    <w:rsid w:val="00EB00A2"/>
    <w:rsid w:val="00EB1BF3"/>
    <w:rsid w:val="00EB4942"/>
    <w:rsid w:val="00EE168F"/>
    <w:rsid w:val="00EF3EEE"/>
    <w:rsid w:val="00EF678E"/>
    <w:rsid w:val="00F149A7"/>
    <w:rsid w:val="00F50BAF"/>
    <w:rsid w:val="00F52C10"/>
    <w:rsid w:val="00F81FFD"/>
    <w:rsid w:val="00F85228"/>
    <w:rsid w:val="00FB0FB4"/>
    <w:rsid w:val="00FB6773"/>
    <w:rsid w:val="00FD4F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4907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F2864-99D9-43F3-93C5-3C27FFA7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5575</Words>
  <Characters>30331</Characters>
  <Application>Microsoft Office Word</Application>
  <DocSecurity>0</DocSecurity>
  <Lines>866</Lines>
  <Paragraphs>228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2010-11-18T19:47:00Z</cp:lastPrinted>
  <dcterms:created xsi:type="dcterms:W3CDTF">2011-02-03T23:00:00Z</dcterms:created>
  <dcterms:modified xsi:type="dcterms:W3CDTF">2011-02-03T23:00:00Z</dcterms:modified>
</cp:coreProperties>
</file>