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7C5244" w:rsidRDefault="007C5244" w:rsidP="002A3EB4">
      <w:pPr>
        <w:pStyle w:val="BillDots"/>
      </w:pPr>
      <w:r>
        <w:t>COMMITTEE REPORT</w:t>
      </w:r>
    </w:p>
    <w:p w:rsidR="007C5244" w:rsidRDefault="007C5244" w:rsidP="002A3EB4">
      <w:pPr>
        <w:pStyle w:val="BillDots"/>
      </w:pPr>
      <w:r>
        <w:t>March 2, 2011</w:t>
      </w:r>
    </w:p>
    <w:p w:rsidR="007C5244" w:rsidRDefault="007C5244" w:rsidP="002A3EB4">
      <w:pPr>
        <w:pStyle w:val="BillDot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 Knotts</w:t>
      </w:r>
    </w:p>
    <w:p w:rsidR="007C5244" w:rsidRDefault="007C5244" w:rsidP="002A3EB4">
      <w:pPr>
        <w:pStyle w:val="BillDots"/>
      </w:pPr>
    </w:p>
    <w:p w:rsidR="007C5244" w:rsidRDefault="007C5244" w:rsidP="00107F1E">
      <w:pPr>
        <w:pStyle w:val="BillDots"/>
        <w:tabs>
          <w:tab w:val="clear" w:pos="216"/>
          <w:tab w:val="clear" w:pos="432"/>
          <w:tab w:val="clear" w:pos="648"/>
          <w:tab w:val="clear" w:pos="864"/>
          <w:tab w:val="clear" w:pos="1080"/>
          <w:tab w:val="clear" w:pos="1296"/>
          <w:tab w:val="clear" w:pos="5904"/>
          <w:tab w:val="right" w:pos="5933"/>
        </w:tabs>
      </w:pPr>
      <w:r>
        <w:t>S. Printed 3/2/11--S.</w:t>
      </w:r>
      <w:r w:rsidR="00107F1E">
        <w:tab/>
        <w:t>[SEC 3/3/11 12:35 PM]</w:t>
      </w:r>
    </w:p>
    <w:p w:rsidR="007C5244" w:rsidRDefault="007C5244" w:rsidP="002A3EB4">
      <w:pPr>
        <w:pStyle w:val="BillDots"/>
      </w:pPr>
      <w:r>
        <w:t>Read the first time January 11, 2011.</w:t>
      </w:r>
    </w:p>
    <w:p w:rsidR="007C5244" w:rsidRPr="007C5244" w:rsidRDefault="007C5244" w:rsidP="007C5244">
      <w:pPr>
        <w:pStyle w:val="BillDots"/>
        <w:jc w:val="center"/>
      </w:pPr>
      <w:r>
        <w:rPr>
          <w:u w:val="single"/>
        </w:rPr>
        <w:t>            </w:t>
      </w:r>
    </w:p>
    <w:p w:rsidR="007C5244" w:rsidRDefault="007C5244" w:rsidP="002A3EB4">
      <w:pPr>
        <w:pStyle w:val="BillDots"/>
      </w:pPr>
    </w:p>
    <w:p w:rsidR="007C5244" w:rsidRPr="007C5244" w:rsidRDefault="007C5244" w:rsidP="007C5244">
      <w:pPr>
        <w:pStyle w:val="BillDots"/>
        <w:jc w:val="center"/>
      </w:pPr>
      <w:r>
        <w:rPr>
          <w:b/>
        </w:rPr>
        <w:t>THE COMMITTEE ON JUDICIARY</w:t>
      </w:r>
    </w:p>
    <w:p w:rsidR="007C5244" w:rsidRDefault="007C5244" w:rsidP="002A3EB4">
      <w:pPr>
        <w:pStyle w:val="BillDots"/>
      </w:pPr>
      <w:r>
        <w:tab/>
        <w:t>To whom was referred a Bill (S. 225) to amend the Code of Laws of South Carolina, 1976, by adding Section 56</w:t>
      </w:r>
      <w:r>
        <w:noBreakHyphen/>
        <w:t>5</w:t>
      </w:r>
      <w:r>
        <w:noBreakHyphen/>
        <w:t>3890 so as to provide that it is unlawful for certain persons who are operating, etc., respectfully</w:t>
      </w:r>
    </w:p>
    <w:p w:rsidR="007C5244" w:rsidRPr="007C5244" w:rsidRDefault="007C5244" w:rsidP="007C5244">
      <w:pPr>
        <w:pStyle w:val="BillDots"/>
        <w:jc w:val="center"/>
      </w:pPr>
      <w:r>
        <w:rPr>
          <w:b/>
        </w:rPr>
        <w:t>REPORT:</w:t>
      </w:r>
    </w:p>
    <w:p w:rsidR="007C5244" w:rsidRDefault="007C5244" w:rsidP="002A3EB4">
      <w:pPr>
        <w:pStyle w:val="BillDots"/>
      </w:pPr>
      <w:r>
        <w:tab/>
        <w:t>That they have duly and carefully considered the same and recommend that the same do pass with amendment:</w:t>
      </w:r>
    </w:p>
    <w:p w:rsidR="007C5244" w:rsidRDefault="007C5244" w:rsidP="002A3EB4">
      <w:pPr>
        <w:pStyle w:val="BillDots"/>
      </w:pP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Amend the bill, as and if amended, by striking on page 2, lines 36-43, and on page 3, lines 1-10, and inserting: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6397">
        <w:t>/</w:t>
      </w:r>
      <w:r w:rsidRPr="00266397">
        <w:tab/>
      </w:r>
      <w:r w:rsidRPr="00266397">
        <w:rPr>
          <w:u w:color="000000" w:themeColor="text1"/>
        </w:rPr>
        <w:t>(D)(1)</w:t>
      </w:r>
      <w:r w:rsidRPr="00266397">
        <w:rPr>
          <w:u w:color="000000" w:themeColor="text1"/>
        </w:rPr>
        <w:tab/>
        <w:t>A person who violates this sec</w:t>
      </w:r>
      <w:r w:rsidR="00107F1E">
        <w:rPr>
          <w:u w:color="000000" w:themeColor="text1"/>
        </w:rPr>
        <w:t>tion is guilty of a misdemeanor</w:t>
      </w:r>
      <w:r w:rsidRPr="00266397">
        <w:rPr>
          <w:u w:color="000000" w:themeColor="text1"/>
        </w:rPr>
        <w:t xml:space="preserve"> and, upon conviction, must be fined twenty dollars, pay a twenty</w:t>
      </w:r>
      <w:r w:rsidRPr="00266397">
        <w:rPr>
          <w:u w:color="000000" w:themeColor="text1"/>
        </w:rPr>
        <w:noBreakHyphen/>
        <w:t xml:space="preserve">five dollar Trauma Care Fund surcharge, and have one point assessed against the person’s motor vehicle operating record, no part of which may be waived, reduced, or suspended, except as provided in subitem (D)(2).  The twenty dollar fine is subject to all applicable court costs, assessments, and surcharges, except as provided in subitem (D)(2).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rPr>
          <w:u w:color="000000" w:themeColor="text1"/>
        </w:rPr>
        <w:tab/>
      </w:r>
      <w:r w:rsidRPr="00266397">
        <w:rPr>
          <w:u w:color="000000" w:themeColor="text1"/>
        </w:rPr>
        <w:tab/>
        <w:t>(2)(a)</w:t>
      </w:r>
      <w:r w:rsidRPr="00266397">
        <w:rPr>
          <w:u w:color="000000" w:themeColor="text1"/>
        </w:rPr>
        <w:tab/>
        <w:t>For a first offense, i</w:t>
      </w:r>
      <w:r w:rsidRPr="00266397">
        <w:t>nstead of the penalty provided in subitem (D)(1), the person may successfully complete  a driver</w:t>
      </w:r>
      <w:r w:rsidR="00107F1E">
        <w:t>’</w:t>
      </w:r>
      <w:r w:rsidRPr="00266397">
        <w:t xml:space="preserve">s education program within sixty days of the person’s conviction date, which specifically contains, in whole or </w:t>
      </w:r>
      <w:r w:rsidR="00107F1E">
        <w:t xml:space="preserve">in </w:t>
      </w:r>
      <w:r w:rsidRPr="00266397">
        <w:t xml:space="preserve">part, education regarding distracted or inattentive driving.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(b)</w:t>
      </w:r>
      <w:r w:rsidRPr="00266397">
        <w:tab/>
        <w:t xml:space="preserve">The person shall select a program approved by the Department of Public Safety’s Office of Highway Safety.  The Office of Highway Safety may approve more than one program, and such programs may be conducted by classroom, computer, or </w:t>
      </w:r>
      <w:r w:rsidRPr="00266397">
        <w:lastRenderedPageBreak/>
        <w:t xml:space="preserve">Internet.  The Office of Highway Safety shall post information regarding the approved programs on its website.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(c)</w:t>
      </w:r>
      <w:r w:rsidRPr="00266397">
        <w:tab/>
        <w:t xml:space="preserve">The person shall indicate to the judge at the time of conviction that the person intends to successfully complete a program instead of the penalty.  The judge shall instruct the person as to how the person is to comply with the requirements of this subitem.  Notwithstanding Section 56-7-30, the court shall retain the records and audit copy of the traffic ticket for the violation until the judge has made a determination as to whether the person has successfully completed the program.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(d)</w:t>
      </w:r>
      <w:r w:rsidRPr="00266397">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(e)</w:t>
      </w:r>
      <w:r w:rsidRPr="00266397">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(f)</w:t>
      </w:r>
      <w:r w:rsidRPr="00266397">
        <w:tab/>
        <w:t>If the judge determines that the person has failed to successfully complete the program, the judge shall impose the fine, the Trauma Care</w:t>
      </w:r>
      <w:r w:rsidR="00107F1E">
        <w:t xml:space="preserve"> Fund</w:t>
      </w:r>
      <w:r w:rsidRPr="00266397">
        <w:t xml:space="preserve"> </w:t>
      </w:r>
      <w:r w:rsidR="00107F1E">
        <w:t>s</w:t>
      </w:r>
      <w:r w:rsidRPr="00266397">
        <w:t xml:space="preserve">urcharge, and all other applicable court costs, assessments, and surcharges.  The court shall remit the records and audit copy of the traffic ticket to the Department of Motor Vehicles within ten days indicating a violation of this section with one point assessed against the person’s motor vehicle operating record.  The Department of Motor Vehicles shall indicate a violation of this section on the person’s motor vehicle operating record with one point assessed.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tab/>
      </w:r>
      <w:r w:rsidRPr="00266397">
        <w:tab/>
      </w:r>
      <w:r w:rsidRPr="00266397">
        <w:tab/>
        <w:t>(g)</w:t>
      </w:r>
      <w:r w:rsidRPr="00266397">
        <w:tab/>
        <w:t xml:space="preserve">A person is not permitted to complete a program instead of the penalty if the person has been convicted of a prior violation of this section.  Only those violations that occurred within a period of ten years, including and immediately preceding </w:t>
      </w:r>
      <w:r w:rsidRPr="00266397">
        <w:lastRenderedPageBreak/>
        <w:t>the date of the last violation, constitute prior violations within the meaning of this subitem.</w:t>
      </w:r>
      <w:r w:rsidRPr="00266397">
        <w:tab/>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r>
      <w:r w:rsidRPr="00266397">
        <w:tab/>
      </w:r>
      <w:r w:rsidRPr="00266397">
        <w:rPr>
          <w:u w:color="000000" w:themeColor="text1"/>
        </w:rPr>
        <w:t>(3)</w:t>
      </w:r>
      <w:r w:rsidRPr="00266397">
        <w:rPr>
          <w:u w:color="000000" w:themeColor="text1"/>
        </w:rPr>
        <w:tab/>
        <w:t xml:space="preserve">If the person does not subsequently violate this section within one year from the date of conviction, the Department of Motor Vehicles shall remove the one point assessed against the person’s motor vehicle operating record.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one point.  </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397">
        <w:rPr>
          <w:u w:color="000000" w:themeColor="text1"/>
        </w:rPr>
        <w:tab/>
      </w:r>
      <w:r w:rsidRPr="00266397">
        <w:rPr>
          <w:u w:color="000000" w:themeColor="text1"/>
        </w:rPr>
        <w:tab/>
        <w:t>(4)</w:t>
      </w:r>
      <w:r w:rsidRPr="00266397">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w:t>
      </w:r>
      <w:r w:rsidRPr="00266397">
        <w:rPr>
          <w:u w:color="000000" w:themeColor="text1"/>
        </w:rPr>
        <w:noBreakHyphen/>
        <w:t>61</w:t>
      </w:r>
      <w:r w:rsidRPr="00266397">
        <w:rPr>
          <w:u w:color="000000" w:themeColor="text1"/>
        </w:rPr>
        <w:noBreakHyphen/>
        <w:t>540.  The Trauma Care Fund surcharge is not subject to the provisions of Section 44</w:t>
      </w:r>
      <w:r w:rsidRPr="00266397">
        <w:rPr>
          <w:u w:color="000000" w:themeColor="text1"/>
        </w:rPr>
        <w:noBreakHyphen/>
        <w:t>61</w:t>
      </w:r>
      <w:r w:rsidRPr="00266397">
        <w:rPr>
          <w:u w:color="000000" w:themeColor="text1"/>
        </w:rPr>
        <w:noBreakHyphen/>
        <w:t>520(G).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r>
      <w:r w:rsidRPr="00266397">
        <w:tab/>
        <w:t>(5)</w:t>
      </w:r>
      <w:r w:rsidRPr="00266397">
        <w:tab/>
        <w:t>During the first one hundred eighty days after this section’s effective date, law enforcement officers shall issue only warnings for violations of this section.</w:t>
      </w:r>
      <w:r w:rsidRPr="00266397">
        <w:tab/>
      </w:r>
      <w:r w:rsidRPr="00266397">
        <w:tab/>
      </w:r>
      <w:r w:rsidRPr="00266397">
        <w:tab/>
      </w:r>
      <w:r w:rsidRPr="00266397">
        <w:rPr>
          <w:u w:color="000000" w:themeColor="text1"/>
        </w:rPr>
        <w:tab/>
        <w:t>/</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Amend the bill further, as and if amended, by striking on page 4, line 13, and inserting:</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6397">
        <w:t>/ Carrier Safety Regulations.</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397">
        <w:tab/>
        <w:t>(I)</w:t>
      </w:r>
      <w:r w:rsidRPr="00266397">
        <w:tab/>
        <w:t>A violation of this section is negligence per se.”</w:t>
      </w:r>
      <w:r w:rsidRPr="00266397">
        <w:tab/>
      </w:r>
      <w:r w:rsidRPr="00266397">
        <w:rPr>
          <w:u w:color="000000" w:themeColor="text1"/>
        </w:rPr>
        <w:tab/>
      </w:r>
      <w:r w:rsidRPr="00266397">
        <w:rPr>
          <w:u w:color="000000" w:themeColor="text1"/>
        </w:rPr>
        <w:tab/>
      </w:r>
      <w:r w:rsidRPr="00266397">
        <w:rPr>
          <w:u w:color="000000" w:themeColor="text1"/>
        </w:rPr>
        <w:tab/>
        <w:t>/</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6397">
        <w:rPr>
          <w:snapToGrid w:val="0"/>
        </w:rPr>
        <w:tab/>
        <w:t>Renumber sections to conform.</w:t>
      </w:r>
    </w:p>
    <w:p w:rsidR="007C524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6397">
        <w:rPr>
          <w:snapToGrid w:val="0"/>
        </w:rPr>
        <w:tab/>
        <w:t>Amend title to conform.</w:t>
      </w:r>
    </w:p>
    <w:p w:rsidR="007C5244" w:rsidRPr="00266397"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244" w:rsidRDefault="007C5244" w:rsidP="002A3EB4">
      <w:pPr>
        <w:pStyle w:val="BillDots"/>
      </w:pPr>
      <w:r>
        <w:t>JOHN M. KNOTTS, JR. for Committee.</w:t>
      </w:r>
    </w:p>
    <w:p w:rsidR="007C5244" w:rsidRPr="007C5244" w:rsidRDefault="007C5244" w:rsidP="007C5244">
      <w:pPr>
        <w:pStyle w:val="BillDots"/>
        <w:jc w:val="center"/>
      </w:pPr>
      <w:r>
        <w:rPr>
          <w:u w:val="single"/>
        </w:rPr>
        <w:t>            </w:t>
      </w:r>
    </w:p>
    <w:p w:rsidR="007C5244" w:rsidRDefault="007C5244" w:rsidP="002A3EB4">
      <w:pPr>
        <w:pStyle w:val="BillDots"/>
      </w:pPr>
    </w:p>
    <w:p w:rsidR="007C5244" w:rsidRPr="007C5244" w:rsidRDefault="007C5244" w:rsidP="007C5244">
      <w:pPr>
        <w:pStyle w:val="BillDots"/>
        <w:jc w:val="center"/>
      </w:pPr>
      <w:r>
        <w:rPr>
          <w:b/>
          <w:u w:val="single"/>
        </w:rPr>
        <w:t>STATEMENT OF ESTIMATED FISCAL IMPACT</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1B04">
        <w:rPr>
          <w:szCs w:val="22"/>
        </w:rPr>
        <w:t>ESTIMATED FISCAL IMPACT ON GENERAL FUND EXPENDITURES:</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D1B04">
        <w:rPr>
          <w:szCs w:val="22"/>
        </w:rPr>
        <w:t>Minimal (Some additional costs expected but can be absorbed)</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D1B04">
        <w:rPr>
          <w:szCs w:val="22"/>
        </w:rPr>
        <w:t>ESTIMATED FISCAL IMPACT ON FEDERAL &amp; OTHER FUND EXPENDITURES:</w:t>
      </w:r>
    </w:p>
    <w:p w:rsidR="007C5244" w:rsidRPr="00FD1B04" w:rsidRDefault="007C5244" w:rsidP="007C524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D1B04">
        <w:rPr>
          <w:szCs w:val="22"/>
        </w:rPr>
        <w:t>$0 (No additional expenditures or savings are expected)</w:t>
      </w:r>
      <w:bookmarkStart w:id="2" w:name="c"/>
      <w:bookmarkEnd w:id="2"/>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D1B04">
        <w:rPr>
          <w:b/>
          <w:szCs w:val="22"/>
        </w:rPr>
        <w:lastRenderedPageBreak/>
        <w:t>EXPLANATION OF IMPACT:</w:t>
      </w:r>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FD1B04">
        <w:rPr>
          <w:szCs w:val="22"/>
          <w:u w:val="single"/>
        </w:rPr>
        <w:t>Judicial Department</w:t>
      </w:r>
    </w:p>
    <w:p w:rsidR="007C5244" w:rsidRPr="00FD1B04" w:rsidRDefault="007C5244" w:rsidP="007C52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d</w:t>
      </w:r>
      <w:r w:rsidRPr="00FD1B04">
        <w:rPr>
          <w:szCs w:val="22"/>
        </w:rPr>
        <w:t xml:space="preserve">epartment indicates that enactment of this </w:t>
      </w:r>
      <w:r>
        <w:rPr>
          <w:szCs w:val="22"/>
        </w:rPr>
        <w:t>b</w:t>
      </w:r>
      <w:r w:rsidRPr="00FD1B04">
        <w:rPr>
          <w:szCs w:val="22"/>
        </w:rPr>
        <w:t>ill will have a minimal impact on the General Fund of the State, which the agency can absorb at their current level of funding.</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D1B04">
        <w:rPr>
          <w:szCs w:val="22"/>
          <w:u w:val="single"/>
        </w:rPr>
        <w:t>Department of Public Safety</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d</w:t>
      </w:r>
      <w:r w:rsidRPr="00FD1B04">
        <w:rPr>
          <w:szCs w:val="22"/>
        </w:rPr>
        <w:t xml:space="preserve">epartment indicates that enactment of this </w:t>
      </w:r>
      <w:r>
        <w:rPr>
          <w:szCs w:val="22"/>
        </w:rPr>
        <w:t>b</w:t>
      </w:r>
      <w:r w:rsidR="005E554E">
        <w:rPr>
          <w:szCs w:val="22"/>
        </w:rPr>
        <w:t>ill will have no fiscal i</w:t>
      </w:r>
      <w:r w:rsidRPr="00FD1B04">
        <w:rPr>
          <w:szCs w:val="22"/>
        </w:rPr>
        <w:t xml:space="preserve">mpact on the General Fund of the State, nor of </w:t>
      </w:r>
      <w:r>
        <w:rPr>
          <w:szCs w:val="22"/>
        </w:rPr>
        <w:t>f</w:t>
      </w:r>
      <w:r w:rsidRPr="00FD1B04">
        <w:rPr>
          <w:szCs w:val="22"/>
        </w:rPr>
        <w:t xml:space="preserve">ederal and/or </w:t>
      </w:r>
      <w:r>
        <w:rPr>
          <w:szCs w:val="22"/>
        </w:rPr>
        <w:t>o</w:t>
      </w:r>
      <w:r w:rsidRPr="00FD1B04">
        <w:rPr>
          <w:szCs w:val="22"/>
        </w:rPr>
        <w:t xml:space="preserve">ther </w:t>
      </w:r>
      <w:r>
        <w:rPr>
          <w:szCs w:val="22"/>
        </w:rPr>
        <w:t>f</w:t>
      </w:r>
      <w:r w:rsidRPr="00FD1B04">
        <w:rPr>
          <w:szCs w:val="22"/>
        </w:rPr>
        <w:t>unds.</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D1B04">
        <w:rPr>
          <w:szCs w:val="22"/>
          <w:u w:val="single"/>
        </w:rPr>
        <w:t>State Treasurer’s Office (STO)</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 xml:space="preserve">The </w:t>
      </w:r>
      <w:r>
        <w:rPr>
          <w:szCs w:val="22"/>
        </w:rPr>
        <w:t>o</w:t>
      </w:r>
      <w:r w:rsidRPr="00FD1B04">
        <w:rPr>
          <w:szCs w:val="22"/>
        </w:rPr>
        <w:t xml:space="preserve">ffice reports this </w:t>
      </w:r>
      <w:r>
        <w:rPr>
          <w:szCs w:val="22"/>
        </w:rPr>
        <w:t>b</w:t>
      </w:r>
      <w:r w:rsidRPr="00FD1B04">
        <w:rPr>
          <w:szCs w:val="22"/>
        </w:rPr>
        <w:t>ill would require STO programming and accounting changes to receive and distribute the new court fine.  A single change to the system would have a minimal impact to the agency but could be absorbed within existing resources.  However, if multiple changes to the system are necessary, STO may require additional funding.</w:t>
      </w:r>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D1B04">
        <w:rPr>
          <w:b/>
          <w:szCs w:val="22"/>
        </w:rPr>
        <w:t>LOCAL GOVERNMENT IMPACT:</w:t>
      </w:r>
      <w:bookmarkStart w:id="4" w:name="fist"/>
      <w:bookmarkEnd w:id="4"/>
    </w:p>
    <w:p w:rsidR="007C5244" w:rsidRPr="00FD1B04" w:rsidRDefault="007C5244" w:rsidP="007C5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D1B04">
        <w:rPr>
          <w:szCs w:val="22"/>
        </w:rPr>
        <w:t>Pursuant to Section 2-7-76 of the Code of Laws of South Carolina, 1976, the Office of State Budget has surveyed members of the FIST Network.  The responses will be forwarded upon receipt.</w:t>
      </w:r>
    </w:p>
    <w:p w:rsidR="007C5244" w:rsidRDefault="007C5244" w:rsidP="002A3EB4">
      <w:pPr>
        <w:pStyle w:val="BillDots"/>
      </w:pPr>
    </w:p>
    <w:p w:rsid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t>Harry Bell</w:t>
      </w: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C5244" w:rsidRDefault="007C5244" w:rsidP="002A3EB4">
      <w:pPr>
        <w:pStyle w:val="BillDots"/>
      </w:pP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Pr>
          <w:color w:val="000000" w:themeColor="text1"/>
          <w:u w:color="000000" w:themeColor="text1"/>
        </w:rPr>
        <w:noBreakHyphen/>
      </w:r>
      <w:r w:rsidRPr="00952BE5">
        <w:rPr>
          <w:color w:val="000000" w:themeColor="text1"/>
          <w:u w:color="000000" w:themeColor="text1"/>
        </w:rPr>
        <w:t xml:space="preserve">free wireless electronic </w:t>
      </w:r>
      <w:r w:rsidRPr="00952BE5">
        <w:rPr>
          <w:color w:val="000000" w:themeColor="text1"/>
          <w:u w:color="000000" w:themeColor="text1"/>
        </w:rPr>
        <w:lastRenderedPageBreak/>
        <w:t>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A person who violates this section is guilty of a misdemeanor and, upon conviction, must be fined twenty dollars, pay a twenty</w:t>
      </w:r>
      <w:r>
        <w:rPr>
          <w:color w:val="000000" w:themeColor="text1"/>
          <w:u w:color="000000" w:themeColor="text1"/>
        </w:rPr>
        <w:noBreakHyphen/>
      </w:r>
      <w:r w:rsidRPr="00952BE5">
        <w:rPr>
          <w:color w:val="000000" w:themeColor="text1"/>
          <w:u w:color="000000" w:themeColor="text1"/>
        </w:rPr>
        <w:t>five dollar Trauma Care Fund surcharge, and have one point assessed against the person</w:t>
      </w:r>
      <w:r w:rsidRPr="003D6F90">
        <w:rPr>
          <w:color w:val="000000" w:themeColor="text1"/>
          <w:u w:color="000000" w:themeColor="text1"/>
        </w:rPr>
        <w:t>’</w:t>
      </w:r>
      <w:r w:rsidRPr="00952BE5">
        <w:rPr>
          <w:color w:val="000000" w:themeColor="text1"/>
          <w:u w:color="000000" w:themeColor="text1"/>
        </w:rPr>
        <w:t>s motor vehicle operating record, pursuant to Section 56</w:t>
      </w:r>
      <w:r>
        <w:rPr>
          <w:color w:val="000000" w:themeColor="text1"/>
          <w:u w:color="000000" w:themeColor="text1"/>
        </w:rPr>
        <w:noBreakHyphen/>
      </w:r>
      <w:r w:rsidRPr="00952BE5">
        <w:rPr>
          <w:color w:val="000000" w:themeColor="text1"/>
          <w:u w:color="000000" w:themeColor="text1"/>
        </w:rPr>
        <w:t>1</w:t>
      </w:r>
      <w:r>
        <w:rPr>
          <w:color w:val="000000" w:themeColor="text1"/>
          <w:u w:color="000000" w:themeColor="text1"/>
        </w:rPr>
        <w:noBreakHyphen/>
      </w:r>
      <w:r w:rsidRPr="00952BE5">
        <w:rPr>
          <w:color w:val="000000" w:themeColor="text1"/>
          <w:u w:color="000000" w:themeColor="text1"/>
        </w:rPr>
        <w:t xml:space="preserve">720, no part of which may be waived, reduced, or suspended.  The fine is subject to all other applicable court costs, assessments, and surcharges.  The Trauma Care Fund surcharge must be deposited with the city or county </w:t>
      </w:r>
      <w:r w:rsidRPr="00952BE5">
        <w:rPr>
          <w:color w:val="000000" w:themeColor="text1"/>
          <w:u w:color="000000" w:themeColor="text1"/>
        </w:rPr>
        <w:lastRenderedPageBreak/>
        <w:t>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540.  The Trauma Care Fund surcharge is not subject to the provisions of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520(G).  If the person does not subsequently violate this section for a one</w:t>
      </w:r>
      <w:r>
        <w:rPr>
          <w:color w:val="000000" w:themeColor="text1"/>
          <w:u w:color="000000" w:themeColor="text1"/>
        </w:rPr>
        <w:noBreakHyphen/>
      </w:r>
      <w:r w:rsidRPr="00952BE5">
        <w:rPr>
          <w:color w:val="000000" w:themeColor="text1"/>
          <w:u w:color="000000" w:themeColor="text1"/>
        </w:rPr>
        <w:t>year period from the date of conviction, the one point assessed against the person</w:t>
      </w:r>
      <w:r w:rsidRPr="003D6F90">
        <w:rPr>
          <w:color w:val="000000" w:themeColor="text1"/>
          <w:u w:color="000000" w:themeColor="text1"/>
        </w:rPr>
        <w:t>’</w:t>
      </w:r>
      <w:r w:rsidRPr="00952BE5">
        <w:rPr>
          <w:color w:val="000000" w:themeColor="text1"/>
          <w:u w:color="000000" w:themeColor="text1"/>
        </w:rPr>
        <w:t xml:space="preserve">s motor vehicle operating record must be removed.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using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 xml:space="preserve">based communication while operating a motor </w:t>
      </w:r>
      <w:r w:rsidRPr="00952BE5">
        <w:lastRenderedPageBreak/>
        <w:t>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sidR="00107F1E">
        <w:rPr>
          <w:color w:val="000000" w:themeColor="text1"/>
          <w:u w:color="000000" w:themeColor="text1"/>
        </w:rPr>
        <w:t>f</w:t>
      </w:r>
      <w:r w:rsidRPr="00952BE5">
        <w:rPr>
          <w:color w:val="000000" w:themeColor="text1"/>
          <w:u w:color="000000" w:themeColor="text1"/>
        </w:rPr>
        <w:t>ederal Motor Carrier Safety Regulations.”</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107F1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VIOLATION</w:t>
      </w:r>
      <w:r w:rsidRPr="00952BE5">
        <w:tab/>
      </w:r>
      <w:r>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t xml:space="preserve">  </w:t>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m.p.h. above the posted limits</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25 m.p.h. or above the posted limits</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w:t>
      </w:r>
      <w:r w:rsidRPr="00952BE5">
        <w:tab/>
        <w:t xml:space="preserve">4 </w:t>
      </w:r>
    </w:p>
    <w:p w:rsidR="003D6F90" w:rsidRPr="00952BE5" w:rsidRDefault="003D6F90" w:rsidP="003D6F90">
      <w:pPr>
        <w:pStyle w:val="BillDots0"/>
        <w:tabs>
          <w:tab w:val="left" w:pos="1512"/>
          <w:tab w:val="left" w:pos="1728"/>
          <w:tab w:val="left" w:pos="1944"/>
        </w:tabs>
      </w:pPr>
      <w:r w:rsidRPr="00952BE5">
        <w:tab/>
        <w:t>Disobedience to officer directing traffic</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yield right of way</w:t>
      </w:r>
      <w:r w:rsidRPr="00952BE5">
        <w:tab/>
        <w:t xml:space="preserve">4 </w:t>
      </w:r>
    </w:p>
    <w:p w:rsidR="003D6F90" w:rsidRPr="00952BE5" w:rsidRDefault="003D6F90" w:rsidP="003D6F90">
      <w:pPr>
        <w:pStyle w:val="BillDots0"/>
        <w:tabs>
          <w:tab w:val="left" w:pos="1512"/>
          <w:tab w:val="left" w:pos="1728"/>
          <w:tab w:val="left" w:pos="1944"/>
        </w:tabs>
      </w:pPr>
      <w:r w:rsidRPr="00952BE5">
        <w:tab/>
        <w:t>Driving on wrong side of road</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Driving through or within safety zone</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lastRenderedPageBreak/>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107F1E" w:rsidP="003D6F90">
      <w:pPr>
        <w:pStyle w:val="BillDots0"/>
        <w:tabs>
          <w:tab w:val="left" w:pos="1512"/>
          <w:tab w:val="left" w:pos="1728"/>
          <w:tab w:val="left" w:pos="1944"/>
        </w:tabs>
      </w:pPr>
      <w:r>
        <w:tab/>
      </w:r>
      <w:r>
        <w:tab/>
        <w:t>decreased speed</w:t>
      </w:r>
      <w:r w:rsidR="003D6F90" w:rsidRPr="00952BE5">
        <w:tab/>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Shifting </w:t>
      </w:r>
      <w:r w:rsidR="00107F1E">
        <w:t>lanes without safety precaution</w:t>
      </w:r>
      <w:r w:rsidRPr="00952BE5">
        <w:tab/>
        <w:t xml:space="preserve">2 </w:t>
      </w:r>
    </w:p>
    <w:p w:rsidR="003D6F90" w:rsidRPr="00952BE5" w:rsidRDefault="00107F1E" w:rsidP="003D6F90">
      <w:pPr>
        <w:pStyle w:val="BillDots0"/>
        <w:tabs>
          <w:tab w:val="left" w:pos="1512"/>
          <w:tab w:val="left" w:pos="1728"/>
          <w:tab w:val="left" w:pos="1944"/>
        </w:tabs>
      </w:pPr>
      <w:r>
        <w:tab/>
        <w:t>Improper dangerous parking</w:t>
      </w:r>
      <w:r w:rsidR="003D6F90" w:rsidRPr="00952BE5">
        <w:tab/>
        <w:t xml:space="preserve">2 </w:t>
      </w:r>
    </w:p>
    <w:p w:rsidR="003D6F90" w:rsidRPr="00952BE5" w:rsidRDefault="003D6F90" w:rsidP="003D6F90">
      <w:pPr>
        <w:pStyle w:val="BillDots0"/>
        <w:tabs>
          <w:tab w:val="left" w:pos="1512"/>
          <w:tab w:val="left" w:pos="1728"/>
          <w:tab w:val="left" w:pos="1944"/>
        </w:tabs>
      </w:pPr>
      <w:r w:rsidRPr="00952BE5">
        <w:tab/>
        <w:t>Following too closely</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dim lig</w:t>
      </w:r>
      <w:r w:rsidR="00107F1E">
        <w:t>hts</w:t>
      </w:r>
      <w:r w:rsidRPr="00952BE5">
        <w:tab/>
        <w:t xml:space="preserve">2 </w:t>
      </w:r>
    </w:p>
    <w:p w:rsidR="003D6F90" w:rsidRPr="00952BE5" w:rsidRDefault="00107F1E" w:rsidP="003D6F90">
      <w:pPr>
        <w:pStyle w:val="BillDots0"/>
        <w:tabs>
          <w:tab w:val="left" w:pos="1512"/>
          <w:tab w:val="left" w:pos="1728"/>
          <w:tab w:val="left" w:pos="1944"/>
        </w:tabs>
      </w:pPr>
      <w:r>
        <w:tab/>
        <w:t>Operating with improper lights</w:t>
      </w:r>
      <w:r w:rsidR="003D6F90" w:rsidRPr="00952BE5">
        <w:tab/>
        <w:t xml:space="preserve">2 </w:t>
      </w:r>
    </w:p>
    <w:p w:rsidR="003D6F90" w:rsidRPr="00952BE5" w:rsidRDefault="00107F1E" w:rsidP="003D6F90">
      <w:pPr>
        <w:pStyle w:val="BillDots0"/>
        <w:tabs>
          <w:tab w:val="left" w:pos="1512"/>
          <w:tab w:val="left" w:pos="1728"/>
          <w:tab w:val="left" w:pos="1944"/>
        </w:tabs>
      </w:pPr>
      <w:r>
        <w:tab/>
        <w:t>Operating with improper brakes</w:t>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tab/>
        <w:t>Operatin</w:t>
      </w:r>
      <w:r w:rsidR="00107F1E">
        <w:t>g a vehicle in unsafe condition</w:t>
      </w:r>
      <w:r w:rsidRPr="00952BE5">
        <w:tab/>
        <w:t xml:space="preserve">2 </w:t>
      </w:r>
    </w:p>
    <w:p w:rsidR="003D6F90" w:rsidRPr="00952BE5" w:rsidRDefault="00107F1E" w:rsidP="003D6F90">
      <w:pPr>
        <w:pStyle w:val="BillDots0"/>
        <w:tabs>
          <w:tab w:val="left" w:pos="1512"/>
          <w:tab w:val="left" w:pos="1728"/>
          <w:tab w:val="left" w:pos="1944"/>
        </w:tabs>
      </w:pPr>
      <w:r>
        <w:tab/>
        <w:t>Driving in improper lane</w:t>
      </w:r>
      <w:r w:rsidR="003D6F90" w:rsidRPr="00952BE5">
        <w:tab/>
        <w:t xml:space="preserve">2 </w:t>
      </w:r>
    </w:p>
    <w:p w:rsidR="003D6F90" w:rsidRPr="00952BE5" w:rsidRDefault="00107F1E" w:rsidP="003D6F90">
      <w:pPr>
        <w:pStyle w:val="BillDots0"/>
        <w:tabs>
          <w:tab w:val="left" w:pos="1512"/>
          <w:tab w:val="left" w:pos="1728"/>
          <w:tab w:val="left" w:pos="1944"/>
        </w:tabs>
      </w:pPr>
      <w:r>
        <w:tab/>
        <w:t>Improper backing</w:t>
      </w:r>
      <w:r w:rsidR="003D6F90" w:rsidRPr="00952BE5">
        <w:t>….</w:t>
      </w:r>
      <w:r w:rsidR="003D6F90" w:rsidRPr="00952BE5">
        <w:tab/>
        <w:t xml:space="preserve">2 </w:t>
      </w:r>
    </w:p>
    <w:p w:rsidR="003D6F90" w:rsidRPr="00952BE5" w:rsidRDefault="003D6F90" w:rsidP="003D6F90">
      <w:pPr>
        <w:pStyle w:val="BillDots0"/>
        <w:tabs>
          <w:tab w:val="left" w:pos="1512"/>
          <w:tab w:val="left" w:pos="1728"/>
          <w:tab w:val="left" w:pos="1944"/>
        </w:tabs>
        <w:rPr>
          <w:u w:val="single"/>
        </w:rPr>
      </w:pPr>
      <w:r w:rsidRPr="00952BE5">
        <w:tab/>
      </w:r>
      <w:r w:rsidRPr="00952BE5">
        <w:rPr>
          <w:u w:val="single"/>
        </w:rPr>
        <w:t>Using a wireless electronic communication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w:t>
      </w:r>
      <w:r>
        <w:rPr>
          <w:u w:val="single"/>
        </w:rPr>
        <w:noBreakHyphen/>
      </w:r>
      <w:r w:rsidRPr="00952BE5">
        <w:rPr>
          <w:u w:val="single"/>
        </w:rPr>
        <w:t>based</w:t>
      </w:r>
    </w:p>
    <w:p w:rsidR="003D6F90" w:rsidRPr="00952BE5" w:rsidRDefault="003D6F90" w:rsidP="002975E9">
      <w:pPr>
        <w:pStyle w:val="BillDots0"/>
      </w:pPr>
      <w:r w:rsidRPr="00952BE5">
        <w:tab/>
      </w:r>
      <w:r w:rsidRPr="002975E9">
        <w:rPr>
          <w:u w:val="single"/>
        </w:rPr>
        <w:t>communication while operating a motor vehicle</w:t>
      </w:r>
      <w:r w:rsidR="002975E9" w:rsidRPr="002975E9">
        <w:rPr>
          <w:u w:val="single"/>
        </w:rPr>
        <w:tab/>
      </w:r>
      <w:r w:rsidRPr="002975E9">
        <w:rPr>
          <w:u w:val="single"/>
        </w:rPr>
        <w:t>1</w:t>
      </w:r>
      <w:r w:rsidRPr="00952BE5">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8343B2">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E64A96-3037-48FA-904E-6EFF15558F73}"/>
    <w:embedBold r:id="rId2" w:fontKey="{1D530D3B-2D40-432F-8532-D7D696DA0648}"/>
    <w:embedItalic r:id="rId3" w:fontKey="{86B154D9-D4B1-49EB-A707-6C35FC0544D3}"/>
  </w:font>
  <w:font w:name="Calibri">
    <w:panose1 w:val="020F0502020204030204"/>
    <w:charset w:val="00"/>
    <w:family w:val="swiss"/>
    <w:pitch w:val="variable"/>
    <w:sig w:usb0="A00002EF" w:usb1="4000207B" w:usb2="00000000" w:usb3="00000000" w:csb0="0000009F" w:csb1="00000000"/>
    <w:embedRegular r:id="rId4" w:fontKey="{13DFEA5A-2F33-4E3B-AD33-F434D0268FEB}"/>
  </w:font>
  <w:font w:name="Cambria">
    <w:panose1 w:val="02040503050406030204"/>
    <w:charset w:val="00"/>
    <w:family w:val="roman"/>
    <w:pitch w:val="variable"/>
    <w:sig w:usb0="A00002EF" w:usb1="4000004B" w:usb2="00000000" w:usb3="00000000" w:csb0="0000009F" w:csb1="00000000"/>
    <w:embedRegular r:id="rId5" w:fontKey="{3CCEC4A4-04E3-4B5B-A762-AB8F0702C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8343B2">
        <w:rPr>
          <w:noProof/>
        </w:rPr>
        <w:t>4</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8343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965A1"/>
    <w:rsid w:val="000A77EE"/>
    <w:rsid w:val="000D38FB"/>
    <w:rsid w:val="000E1785"/>
    <w:rsid w:val="001023A4"/>
    <w:rsid w:val="001030E5"/>
    <w:rsid w:val="0010776B"/>
    <w:rsid w:val="00107F1E"/>
    <w:rsid w:val="00131F3A"/>
    <w:rsid w:val="00133E66"/>
    <w:rsid w:val="00134ACF"/>
    <w:rsid w:val="00144E15"/>
    <w:rsid w:val="00164EA2"/>
    <w:rsid w:val="001A4A62"/>
    <w:rsid w:val="001A681E"/>
    <w:rsid w:val="001D08F2"/>
    <w:rsid w:val="002037CA"/>
    <w:rsid w:val="002047A2"/>
    <w:rsid w:val="0021730F"/>
    <w:rsid w:val="00224D4C"/>
    <w:rsid w:val="002321B6"/>
    <w:rsid w:val="0023696B"/>
    <w:rsid w:val="00250967"/>
    <w:rsid w:val="002759C5"/>
    <w:rsid w:val="00277DEE"/>
    <w:rsid w:val="00280D88"/>
    <w:rsid w:val="00294ABE"/>
    <w:rsid w:val="002975E9"/>
    <w:rsid w:val="002A3EB4"/>
    <w:rsid w:val="00325348"/>
    <w:rsid w:val="00393688"/>
    <w:rsid w:val="003D411E"/>
    <w:rsid w:val="003D6F90"/>
    <w:rsid w:val="003E3C1E"/>
    <w:rsid w:val="003E6148"/>
    <w:rsid w:val="00400EAA"/>
    <w:rsid w:val="0041760A"/>
    <w:rsid w:val="004809EE"/>
    <w:rsid w:val="004C0C49"/>
    <w:rsid w:val="00511EE9"/>
    <w:rsid w:val="00521E00"/>
    <w:rsid w:val="00577C6C"/>
    <w:rsid w:val="0058501B"/>
    <w:rsid w:val="005E554E"/>
    <w:rsid w:val="006215AA"/>
    <w:rsid w:val="006340D9"/>
    <w:rsid w:val="00643B8E"/>
    <w:rsid w:val="00665EBC"/>
    <w:rsid w:val="0069470D"/>
    <w:rsid w:val="006A476C"/>
    <w:rsid w:val="006C6A93"/>
    <w:rsid w:val="006E02F9"/>
    <w:rsid w:val="006F5956"/>
    <w:rsid w:val="00753C04"/>
    <w:rsid w:val="00756946"/>
    <w:rsid w:val="00757F80"/>
    <w:rsid w:val="00771EEC"/>
    <w:rsid w:val="00786819"/>
    <w:rsid w:val="007A325A"/>
    <w:rsid w:val="007C5244"/>
    <w:rsid w:val="007F1523"/>
    <w:rsid w:val="007F509E"/>
    <w:rsid w:val="007F5799"/>
    <w:rsid w:val="007F6947"/>
    <w:rsid w:val="008343B2"/>
    <w:rsid w:val="00872729"/>
    <w:rsid w:val="008F4429"/>
    <w:rsid w:val="009352BB"/>
    <w:rsid w:val="00990668"/>
    <w:rsid w:val="009F0C77"/>
    <w:rsid w:val="009F4DD1"/>
    <w:rsid w:val="009F7BDA"/>
    <w:rsid w:val="00A64E80"/>
    <w:rsid w:val="00A741D9"/>
    <w:rsid w:val="00A9741D"/>
    <w:rsid w:val="00AD4B17"/>
    <w:rsid w:val="00B26FA6"/>
    <w:rsid w:val="00B741CB"/>
    <w:rsid w:val="00B934F3"/>
    <w:rsid w:val="00BB6347"/>
    <w:rsid w:val="00BD2134"/>
    <w:rsid w:val="00C038D8"/>
    <w:rsid w:val="00C045DD"/>
    <w:rsid w:val="00C139E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D40B-C799-4242-BD63-F52F2D3E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2423</Words>
  <Characters>13813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2010-12-08T16:31:00Z</cp:lastPrinted>
  <dcterms:created xsi:type="dcterms:W3CDTF">2011-03-03T17:35:00Z</dcterms:created>
  <dcterms:modified xsi:type="dcterms:W3CDTF">2011-03-03T17:35:00Z</dcterms:modified>
</cp:coreProperties>
</file>