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AC" w:rsidRDefault="006C21AC" w:rsidP="00B233F9">
      <w:pPr>
        <w:pStyle w:val="BillDots"/>
      </w:pPr>
      <w:r>
        <w:rPr>
          <w:strike/>
        </w:rPr>
        <w:t>Indicates Matter Stricken</w:t>
      </w:r>
    </w:p>
    <w:p w:rsidR="006C21AC" w:rsidRPr="006C21AC" w:rsidRDefault="006C21AC" w:rsidP="00B233F9">
      <w:pPr>
        <w:pStyle w:val="BillDots"/>
      </w:pPr>
      <w:r>
        <w:rPr>
          <w:u w:val="single"/>
        </w:rPr>
        <w:t>Indicates New Matter</w:t>
      </w:r>
    </w:p>
    <w:p w:rsidR="006C21AC" w:rsidRDefault="006C21AC" w:rsidP="00B233F9">
      <w:pPr>
        <w:pStyle w:val="BillDots"/>
      </w:pPr>
    </w:p>
    <w:p w:rsidR="006C21AC" w:rsidRDefault="006C21AC" w:rsidP="00B233F9">
      <w:pPr>
        <w:pStyle w:val="BillDots"/>
      </w:pPr>
      <w:r>
        <w:t>COMMITTEE REPORT</w:t>
      </w:r>
    </w:p>
    <w:p w:rsidR="006C21AC" w:rsidRDefault="006C21AC" w:rsidP="00B233F9">
      <w:pPr>
        <w:pStyle w:val="BillDots"/>
      </w:pPr>
      <w:r>
        <w:t>February 23, 2011</w:t>
      </w:r>
    </w:p>
    <w:p w:rsidR="006C21AC" w:rsidRDefault="006C21AC" w:rsidP="00B233F9">
      <w:pPr>
        <w:pStyle w:val="BillDots"/>
      </w:pPr>
    </w:p>
    <w:p w:rsidR="006C21AC" w:rsidRPr="006C21AC" w:rsidRDefault="006C21AC" w:rsidP="006C21AC">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6C21AC" w:rsidRDefault="006C21AC" w:rsidP="00B233F9">
      <w:pPr>
        <w:pStyle w:val="BillDots"/>
      </w:pPr>
    </w:p>
    <w:p w:rsidR="006C21AC" w:rsidRDefault="006C21AC"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 Hearn, Edge, Anderson, Erickson, Knight, Chumley, Butler Garrick and Bales</w:t>
      </w:r>
    </w:p>
    <w:p w:rsidR="006C21AC" w:rsidRDefault="006C21AC" w:rsidP="00B233F9">
      <w:pPr>
        <w:pStyle w:val="BillDots"/>
      </w:pPr>
    </w:p>
    <w:p w:rsidR="006C21AC" w:rsidRDefault="006C21AC" w:rsidP="00EA4347">
      <w:pPr>
        <w:pStyle w:val="BillDots"/>
        <w:tabs>
          <w:tab w:val="clear" w:pos="216"/>
          <w:tab w:val="clear" w:pos="432"/>
          <w:tab w:val="clear" w:pos="648"/>
          <w:tab w:val="clear" w:pos="864"/>
          <w:tab w:val="clear" w:pos="1080"/>
          <w:tab w:val="clear" w:pos="1296"/>
          <w:tab w:val="clear" w:pos="5904"/>
          <w:tab w:val="right" w:pos="5933"/>
        </w:tabs>
      </w:pPr>
      <w:r>
        <w:t>S. Printed 2/23/11--S.</w:t>
      </w:r>
      <w:r w:rsidR="00EA4347">
        <w:tab/>
        <w:t>[SEC 3/2/11 10:38 AM]</w:t>
      </w:r>
    </w:p>
    <w:p w:rsidR="006C21AC" w:rsidRDefault="006C21AC" w:rsidP="00B233F9">
      <w:pPr>
        <w:pStyle w:val="BillDots"/>
      </w:pPr>
      <w:r>
        <w:t>Read the first time February 15, 2011.</w:t>
      </w:r>
    </w:p>
    <w:p w:rsidR="006C21AC" w:rsidRPr="006C21AC" w:rsidRDefault="006C21AC" w:rsidP="006C21AC">
      <w:pPr>
        <w:pStyle w:val="BillDots"/>
        <w:jc w:val="center"/>
      </w:pPr>
      <w:r>
        <w:rPr>
          <w:u w:val="single"/>
        </w:rPr>
        <w:t>            </w:t>
      </w:r>
    </w:p>
    <w:p w:rsidR="006C21AC" w:rsidRDefault="006C21AC" w:rsidP="00B233F9">
      <w:pPr>
        <w:pStyle w:val="BillDots"/>
      </w:pPr>
    </w:p>
    <w:p w:rsidR="006C21AC" w:rsidRPr="006C21AC" w:rsidRDefault="006C21AC" w:rsidP="006C21AC">
      <w:pPr>
        <w:pStyle w:val="BillDots"/>
        <w:jc w:val="center"/>
      </w:pPr>
      <w:r>
        <w:rPr>
          <w:b/>
        </w:rPr>
        <w:t>THE COMMITTEE ON JUDICIARY</w:t>
      </w:r>
    </w:p>
    <w:p w:rsidR="006C21AC" w:rsidRDefault="006C21AC" w:rsidP="00B233F9">
      <w:pPr>
        <w:pStyle w:val="BillDots"/>
      </w:pPr>
      <w:r>
        <w:tab/>
        <w:t>To whom was referred a Bill (H. 3375) to amend the Code of Laws of South Carolina, 1976, so as to enact the “South Carolina Fairness in Civil Justice Act of 2011” by amending Article 5, etc., respectfully</w:t>
      </w:r>
    </w:p>
    <w:p w:rsidR="006C21AC" w:rsidRPr="006C21AC" w:rsidRDefault="006C21AC" w:rsidP="006C21AC">
      <w:pPr>
        <w:pStyle w:val="BillDots"/>
        <w:jc w:val="center"/>
      </w:pPr>
      <w:r>
        <w:rPr>
          <w:b/>
        </w:rPr>
        <w:t>REPORT:</w:t>
      </w:r>
    </w:p>
    <w:p w:rsidR="006C21AC" w:rsidRDefault="006C21AC" w:rsidP="00B233F9">
      <w:pPr>
        <w:pStyle w:val="BillDots"/>
      </w:pPr>
      <w:r>
        <w:tab/>
        <w:t>That they have duly and carefully considered the same and recommend that the same do pass with amendment:</w:t>
      </w:r>
    </w:p>
    <w:p w:rsidR="006C21AC" w:rsidRDefault="006C21AC" w:rsidP="00B233F9">
      <w:pPr>
        <w:pStyle w:val="BillDots"/>
      </w:pP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044AC">
        <w:rPr>
          <w:snapToGrid w:val="0"/>
        </w:rPr>
        <w:tab/>
      </w:r>
      <w:r w:rsidRPr="007044AC">
        <w:rPr>
          <w:snapToGrid w:val="0"/>
          <w:u w:color="000000" w:themeColor="text1"/>
        </w:rPr>
        <w:t>Amend the bill, as and if amended, page [3375</w:t>
      </w:r>
      <w:r w:rsidRPr="007044AC">
        <w:rPr>
          <w:snapToGrid w:val="0"/>
          <w:u w:color="000000" w:themeColor="text1"/>
        </w:rPr>
        <w:noBreakHyphen/>
        <w:t>3], beginning on line 28, in SECTION 2, by striking Section 15</w:t>
      </w:r>
      <w:r w:rsidRPr="007044AC">
        <w:rPr>
          <w:snapToGrid w:val="0"/>
          <w:u w:color="000000" w:themeColor="text1"/>
        </w:rPr>
        <w:noBreakHyphen/>
        <w:t>32</w:t>
      </w:r>
      <w:r w:rsidRPr="007044AC">
        <w:rPr>
          <w:snapToGrid w:val="0"/>
          <w:u w:color="000000" w:themeColor="text1"/>
        </w:rPr>
        <w:noBreakHyphen/>
        <w:t>530 in its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 15</w:t>
      </w:r>
      <w:r w:rsidRPr="007044AC">
        <w:rPr>
          <w:snapToGrid w:val="0"/>
        </w:rPr>
        <w:noBreakHyphen/>
        <w:t>32</w:t>
      </w:r>
      <w:r w:rsidRPr="007044AC">
        <w:rPr>
          <w:snapToGrid w:val="0"/>
        </w:rPr>
        <w:noBreakHyphen/>
        <w:t>530(A).</w:t>
      </w:r>
      <w:r w:rsidRPr="007044AC">
        <w:rPr>
          <w:snapToGrid w:val="0"/>
        </w:rPr>
        <w:tab/>
      </w:r>
      <w:r>
        <w:rPr>
          <w:snapToGrid w:val="0"/>
        </w:rPr>
        <w:tab/>
      </w:r>
      <w:r w:rsidRPr="007044AC">
        <w:rPr>
          <w:snapToGrid w:val="0"/>
        </w:rPr>
        <w:t>An award of punitive damages may not exceed three times the amount of the plaintiff’s compensatory damages award or three hundred fifty thousand dollars, whichever is greater.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(B)</w:t>
      </w:r>
      <w:r w:rsidRPr="007044AC">
        <w:rPr>
          <w:snapToGrid w:val="0"/>
        </w:rPr>
        <w:tab/>
        <w:t>The limitations in subsection (A) do not apply when the: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(1)</w:t>
      </w:r>
      <w:r w:rsidRPr="007044AC">
        <w:rPr>
          <w:snapToGrid w:val="0"/>
        </w:rPr>
        <w:tab/>
        <w:t>trial court determines that the plaintiff’s injury was proximately caused by the defendant’s conscious pursuit of a course of conduct that the defendant knew would likely cause injury or damage or was motivated by the pursuit of unreasonable financial gain;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(2)</w:t>
      </w:r>
      <w:r w:rsidRPr="007044AC">
        <w:rPr>
          <w:snapToGrid w:val="0"/>
        </w:rPr>
        <w:tab/>
        <w:t>defendant pleads guilty to or is convicted of a felony arising out of the same act or course of conduct complained of by the plaintiff, and that act or course of conduct is a proximate cause of the plaintiff’s damages; 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(3</w:t>
      </w:r>
      <w:r w:rsidRPr="007044AC">
        <w:t>)</w:t>
      </w:r>
      <w:r w:rsidRPr="007044AC">
        <w:tab/>
        <w:t>trial court determines that at the time of the plaintiff’s injury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(C)</w:t>
      </w:r>
      <w:r w:rsidRPr="007044AC">
        <w:rPr>
          <w:snapToGrid w:val="0"/>
        </w:rPr>
        <w:tab/>
        <w:t>The limitation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6C21AC" w:rsidRPr="007044AC" w:rsidRDefault="006C21AC" w:rsidP="006C21A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7044AC">
        <w:rPr>
          <w:snapToGrid w:val="0"/>
          <w:sz w:val="22"/>
          <w:szCs w:val="20"/>
        </w:rPr>
        <w:tab/>
        <w:t>(D)</w:t>
      </w:r>
      <w:r w:rsidRPr="007044AC">
        <w:rPr>
          <w:sz w:val="22"/>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publication, pursuant to Section 1</w:t>
      </w:r>
      <w:r w:rsidRPr="007044AC">
        <w:rPr>
          <w:sz w:val="22"/>
        </w:rPr>
        <w:noBreakHyphen/>
        <w:t>23</w:t>
      </w:r>
      <w:r w:rsidRPr="007044AC">
        <w:rPr>
          <w:sz w:val="22"/>
        </w:rPr>
        <w:noBreakHyphen/>
        <w:t>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15-32-540.</w:t>
      </w:r>
      <w:r w:rsidRPr="007044AC">
        <w:rPr>
          <w:snapToGrid w:val="0"/>
        </w:rPr>
        <w:tab/>
        <w:t>The provisions of this article do not affect any right, privilege, or provision of the South Carolina Tort Claims Act pursuant to Chapter 78, Title 15 or the South Carolina Solicitation of Charitable Funds Act as contained in Chapter 56, Title 33.”</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t>Amend the bill further, as and if amended, beginning on page [3375-4], line 11, by striking SECTION 3 in its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w:t>
      </w:r>
      <w:r w:rsidRPr="007044AC">
        <w:rPr>
          <w:snapToGrid w:val="0"/>
        </w:rPr>
        <w:tab/>
        <w:t>SECTION</w:t>
      </w:r>
      <w:r w:rsidRPr="007044AC">
        <w:rPr>
          <w:snapToGrid w:val="0"/>
        </w:rPr>
        <w:tab/>
        <w:t>3.</w:t>
      </w:r>
      <w:r w:rsidRPr="007044AC">
        <w:rPr>
          <w:snapToGrid w:val="0"/>
        </w:rPr>
        <w:tab/>
        <w:t>Article 5, Chapter 7, Title 1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1-7-750.(A)</w:t>
      </w:r>
      <w:r w:rsidRPr="007044AC">
        <w:rPr>
          <w:snapToGrid w:val="0"/>
        </w:rPr>
        <w:tab/>
      </w:r>
      <w:r w:rsidRPr="007044AC">
        <w:rPr>
          <w:snapToGrid w:val="0"/>
        </w:rPr>
        <w:tab/>
        <w:t>This section may be cited as the ‘Private Attorney Retention Sunshine Act’.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snapToGrid w:val="0"/>
        </w:rPr>
        <w:tab/>
      </w:r>
      <w:r w:rsidRPr="007044AC">
        <w:rPr>
          <w:u w:color="000000" w:themeColor="text1"/>
        </w:rPr>
        <w:t>(B)</w:t>
      </w:r>
      <w:r w:rsidRPr="007044AC">
        <w:rPr>
          <w:u w:color="000000" w:themeColor="text1"/>
        </w:rPr>
        <w:tab/>
        <w:t>Except as provided in Section 1</w:t>
      </w:r>
      <w:r w:rsidRPr="007044AC">
        <w:rPr>
          <w:u w:color="000000" w:themeColor="text1"/>
        </w:rPr>
        <w:noBreakHyphen/>
        <w:t>7</w:t>
      </w:r>
      <w:r w:rsidRPr="007044AC">
        <w:rPr>
          <w:u w:color="000000" w:themeColor="text1"/>
        </w:rPr>
        <w:noBreakHyphen/>
        <w:t>760 and in actions for civil forfeiture proceedings arising from criminal activity or from estreatment of bail bonds, when the Attorney General or a circuit solicitor retains, engages, associates, hires, or otherwise obtains a private attorney, attorneys, or law firm as outside counsel to represent the State or any political subdivision, the outside counsel is required to enter into a contract that is governed by the following terms, provisions, or conditions:</w:t>
      </w:r>
      <w:r w:rsidRPr="007044AC">
        <w:rPr>
          <w:u w:color="000000" w:themeColor="text1"/>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(1)</w:t>
      </w:r>
      <w:r w:rsidRPr="007044AC">
        <w:rPr>
          <w:snapToGrid w:val="0"/>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(2)</w:t>
      </w:r>
      <w:r w:rsidRPr="007044AC">
        <w:rPr>
          <w:snapToGrid w:val="0"/>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(3)</w:t>
      </w:r>
      <w:r w:rsidRPr="007044AC">
        <w:rPr>
          <w:snapToGrid w:val="0"/>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(4)</w:t>
      </w:r>
      <w:r w:rsidRPr="007044AC">
        <w:rPr>
          <w:snapToGrid w:val="0"/>
        </w:rPr>
        <w:tab/>
        <w:t xml:space="preserve">outside counsel will render services as an independent contractor.  Neither outside counsel nor an employee of outside counsel is regarded as employed by, or as an employee of, the Attorney General, a circuit solicitor, or the State;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(5)</w:t>
      </w:r>
      <w:r w:rsidRPr="007044AC">
        <w:rPr>
          <w:snapToGrid w:val="0"/>
        </w:rPr>
        <w:tab/>
        <w:t xml:space="preserve">detailed time and cost records reflecting all work must be maintained by outside counsel and presented monthly to the Attorney General or circuit solicitor;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(6)</w:t>
      </w:r>
      <w:r w:rsidRPr="007044AC">
        <w:rPr>
          <w:snapToGrid w:val="0"/>
        </w:rPr>
        <w:tab/>
        <w:t xml:space="preserve">the Attorney General, or circuit solicitor, or a designated assistant shall approve in advance all aspects of the litigation or other matter for which outside counsel is retained and must be included in settlement discussions.  Outside counsel agrees that all settlements must receive the Attorney General’s or circuit solicitor’s express prior approval in writing;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(7)</w:t>
      </w:r>
      <w:r w:rsidRPr="007044AC">
        <w:rPr>
          <w:snapToGrid w:val="0"/>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however,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 subject to all exemptions from disclosure provided in the South Carolina Freedom of Information Act, Chapter 4, Title 30, and subject to exemption from disclosure or redaction as necessary to preserve the attorney client privilege, attorney work product protection, and all other applicable privileges and protections.  </w:t>
      </w:r>
      <w:r w:rsidRPr="007044AC">
        <w:t>At any point after the summons and complaint are filed, either party may move for a protective order to address disposal or disclosure of documents produced in discovery;</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(8)</w:t>
      </w:r>
      <w:r w:rsidRPr="007044AC">
        <w:rPr>
          <w:snapToGrid w:val="0"/>
        </w:rPr>
        <w:tab/>
        <w:t>in contingent fee cases, outside counsel may not receive compensation for services rendered unless the State receives a settlement or award in connection with the litigation.  If the State receives an award, outside counsel will be compensated as follows: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(a)</w:t>
      </w:r>
      <w:r w:rsidRPr="007044AC">
        <w:rPr>
          <w:snapToGrid w:val="0"/>
        </w:rPr>
        <w:tab/>
        <w:t>outside counsel may not be paid, not including punitive or exemplary damages, more than the following percentages corresponding to the amount of the judgment or settlement including civil penalties: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w:t>
      </w:r>
      <w:r w:rsidRPr="007044AC">
        <w:rPr>
          <w:snapToGrid w:val="0"/>
        </w:rPr>
        <w:tab/>
      </w:r>
      <w:r w:rsidRPr="007044AC">
        <w:rPr>
          <w:snapToGrid w:val="0"/>
        </w:rPr>
        <w:tab/>
        <w:t>twenty-five percent of the judgment or settlement up to and including the first $5,000,000;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r>
      <w:r w:rsidRPr="007044AC">
        <w:rPr>
          <w:snapToGrid w:val="0"/>
        </w:rPr>
        <w:tab/>
      </w:r>
      <w:r w:rsidRPr="007044AC">
        <w:rPr>
          <w:snapToGrid w:val="0"/>
        </w:rPr>
        <w:tab/>
        <w:t>(ii)</w:t>
      </w:r>
      <w:r w:rsidRPr="007044AC">
        <w:rPr>
          <w:snapToGrid w:val="0"/>
        </w:rPr>
        <w:tab/>
        <w:t>twenty-two percent of that portion of the judgment or settlement in excess of $5,000,000 up to $10,000,000;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(iii)</w:t>
      </w:r>
      <w:r w:rsidRPr="007044AC">
        <w:rPr>
          <w:snapToGrid w:val="0"/>
        </w:rPr>
        <w:tab/>
        <w:t>eighteen percent of that portion of the judgment or settlement in excess of $10,000,000 up to $25,000,000;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(iv)</w:t>
      </w:r>
      <w:r w:rsidRPr="007044AC">
        <w:rPr>
          <w:snapToGrid w:val="0"/>
        </w:rPr>
        <w:tab/>
        <w:t>fifteen percent of that portion of the judgment or settlement in excess of $25,000,000 up to $50,000,000;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(v)</w:t>
      </w:r>
      <w:r w:rsidRPr="007044AC">
        <w:rPr>
          <w:snapToGrid w:val="0"/>
        </w:rPr>
        <w:tab/>
        <w:t>twelve percent of that portion of the judgment or settlement in excess of $50,000,000, but less than $100,000,000;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(vi)</w:t>
      </w:r>
      <w:r w:rsidRPr="007044AC">
        <w:rPr>
          <w:snapToGrid w:val="0"/>
        </w:rPr>
        <w:tab/>
        <w:t>ten percent of that portion of the judgment or settlement in excess of $100,000,000.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However, civil penalties are not considered punitive or exemplary damages.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(b)</w:t>
      </w:r>
      <w:r w:rsidRPr="007044AC">
        <w:rPr>
          <w:snapToGrid w:val="0"/>
        </w:rPr>
        <w:tab/>
        <w:t>following reimbursement of outside counsel’s reasonable and approved expenses and costs, the remaining settlement or judgment, but not including punitive or exemplary damages, must be paid or applied on behalf of the State, or the people of South Carolina, or the victims in a manner to be determined by the Attorney General or circuit solicitor, in his sole discretion;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(c)</w:t>
      </w:r>
      <w:r w:rsidRPr="007044AC">
        <w:rPr>
          <w:snapToGrid w:val="0"/>
        </w:rPr>
        <w:tab/>
        <w:t>outside counsel may not be paid more than the following percentages corresponding to the amount of punitive or exemplary damages: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w:t>
      </w:r>
      <w:r>
        <w:rPr>
          <w:snapToGrid w:val="0"/>
        </w:rPr>
        <w:tab/>
      </w:r>
      <w:r w:rsidRPr="007044AC">
        <w:rPr>
          <w:snapToGrid w:val="0"/>
        </w:rPr>
        <w:tab/>
        <w:t>twenty percent of the damages up to and including the first $10,000,000;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w:t>
      </w:r>
      <w:r w:rsidRPr="007044AC">
        <w:rPr>
          <w:snapToGrid w:val="0"/>
        </w:rPr>
        <w:tab/>
        <w:t>fifteen percent of that portion of the damages in excess of $10,000,000 up to $100,000,000;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(iii)</w:t>
      </w:r>
      <w:r w:rsidRPr="007044AC">
        <w:rPr>
          <w:snapToGrid w:val="0"/>
        </w:rPr>
        <w:tab/>
        <w:t>ten percent of that portion of the damages in excess of $100,000,000.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 xml:space="preserve">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w:t>
      </w:r>
      <w:r w:rsidRPr="007044AC">
        <w:rPr>
          <w:snapToGrid w:val="0"/>
        </w:rPr>
        <w:lastRenderedPageBreak/>
        <w:t>recovery by the incremental dollar amount falling within each such category, and the separate products so derived shall be added together to compute the aggregate fee to be paid to outside counsel.</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(d)</w:t>
      </w:r>
      <w:r w:rsidRPr="007044AC">
        <w:rPr>
          <w:snapToGrid w:val="0"/>
        </w:rPr>
        <w:tab/>
        <w:t xml:space="preserve">following reimbursement of outside counsel’s reasonable and approved expenses and costs, the remaining amount of punitive and exemplary damages must be paid or applied on behalf of the State to the </w:t>
      </w:r>
      <w:r w:rsidR="000B4B7B">
        <w:rPr>
          <w:snapToGrid w:val="0"/>
        </w:rPr>
        <w:t>g</w:t>
      </w:r>
      <w:r w:rsidRPr="007044AC">
        <w:rPr>
          <w:snapToGrid w:val="0"/>
        </w:rPr>
        <w:t xml:space="preserve">eneral </w:t>
      </w:r>
      <w:r w:rsidR="000B4B7B">
        <w:rPr>
          <w:snapToGrid w:val="0"/>
        </w:rPr>
        <w:t>f</w:t>
      </w:r>
      <w:r w:rsidRPr="007044AC">
        <w:rPr>
          <w:snapToGrid w:val="0"/>
        </w:rPr>
        <w:t>und, or the people of South Carolina, or the victims in a manner to be determined by the Attorney General or circuit solicitor in his sole discretion;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(e)</w:t>
      </w:r>
      <w:r w:rsidRPr="007044AC">
        <w:rPr>
          <w:snapToGrid w:val="0"/>
        </w:rPr>
        <w:tab/>
        <w:t>all settlement or judgment proceeds shall be paid by, or on behalf of, any defendant to the Attorney General or circuit solicitor’s office for distribution;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(f)</w:t>
      </w:r>
      <w:r w:rsidRPr="007044AC">
        <w:rPr>
          <w:snapToGrid w:val="0"/>
        </w:rPr>
        <w:tab/>
        <w:t>the fee schedule required by this section applies to all settlements or judgments, whether the settlement or judgment is entirely monetary in nature or is combined with nonmonetary relief.  In the event the litigation is resolved by settlement or judgment involving a combination of monetary and nonmonetary relief, such as injunctive relief, nonmonetary payment, the provision of goods or services or other in-kind terms, or a combination of these, the Attorney General or circuit solicitor shall determine the monetary value to the State;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(9)</w:t>
      </w:r>
      <w:r w:rsidRPr="007044AC">
        <w:rPr>
          <w:snapToGrid w:val="0"/>
        </w:rPr>
        <w:tab/>
        <w:t>outside counsel must be reimbursed for reasonable and approved expenses and costs prior to the payment of fees calculated on the amount of the judgment or settlement.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(a)</w:t>
      </w:r>
      <w:r w:rsidRPr="007044AC">
        <w:rPr>
          <w:snapToGrid w:val="0"/>
        </w:rPr>
        <w:tab/>
        <w:t>outside counsel must be reimbursed for the retention of experts, including fees and other reasonable costs, only when expressly authorized by the Attorney General or circuit solicitor;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(b)</w:t>
      </w:r>
      <w:r w:rsidRPr="007044AC">
        <w:rPr>
          <w:snapToGrid w:val="0"/>
        </w:rPr>
        <w:tab/>
        <w:t xml:space="preserve">for reimbursements of expenses for lodging, travel, or mileage, receipts are required, and these expenses must be reasonable;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(10)</w:t>
      </w:r>
      <w:r w:rsidRPr="007044AC">
        <w:rPr>
          <w:snapToGrid w:val="0"/>
        </w:rPr>
        <w:tab/>
        <w:t xml:space="preserve">outside counsel may not speak to any representative of a television station, radio station, newspaper, magazine, or other </w:t>
      </w:r>
      <w:r w:rsidRPr="007044AC">
        <w:rPr>
          <w:snapToGrid w:val="0"/>
        </w:rPr>
        <w:lastRenderedPageBreak/>
        <w:t>media outlet concerning the work outlined or contemplated in the contract of retention without first obtaining approval of the Attorney General or circuit solicitor.  Outside counsel is specifically prohibited from speaking on behalf of the Attorney General, or circuit solicitor, or the State of South Carolina to any representative of the news media.</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t>(C)</w:t>
      </w:r>
      <w:r w:rsidRPr="007044AC">
        <w:rPr>
          <w:u w:color="000000" w:themeColor="text1"/>
        </w:rPr>
        <w:tab/>
        <w:t>A circuit solicitor may employ outside counsel, in his discretion, without approval of the Attorney General, for civil forfeiture proceedings arising from criminal activity or from estreatment of bail bonds.  In any other matter, the circuit solicitor must obtain written approval of the Attorney General prior to retaining counsel to or filing a civil cause of action including any or all cases seeking civil penalties.</w:t>
      </w:r>
      <w:r w:rsidRPr="007044AC">
        <w:rPr>
          <w:u w:color="000000" w:themeColor="text1"/>
        </w:rPr>
        <w:tab/>
      </w:r>
    </w:p>
    <w:p w:rsidR="000B4B7B"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tab/>
        <w:t>Section 1-7-760.</w:t>
      </w:r>
      <w:r w:rsidRPr="007044AC">
        <w:tab/>
        <w:t xml:space="preserve">The provisions of Section 1-7-750(B) may be suspended only under certain conditions when the Attorney General, in his discretion, or the circuit solicitor, upon the written approval of the Attorney General, decides that exceptional circumstances exist which warrant departure from the requirements of Section 1-7-750(B), and, in his judgment, that departure is absolutely necessary and in the best interests of the State.  If the Attorney General or the circuit solicitor decides to invoke the provisions of this section, he must specifically state in writing those provisions of Section 1-7-750(B)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 </w:t>
      </w:r>
      <w:r w:rsidRPr="007044AC">
        <w:rPr>
          <w:snapToGrid w:val="0"/>
        </w:rPr>
        <w:t>subject to all exemptions from disclosure provided in the South Carolina Freedom of Information Act and subject to exemption from disclosure or redaction as necessary to preserve the attorney client privilege, attorney work product protection, and all other applicable privileges and protections.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4AC">
        <w:tab/>
        <w:t>Section 1-7-770.</w:t>
      </w:r>
      <w:r w:rsidRPr="007044AC">
        <w:tab/>
        <w:t xml:space="preserve">Nothing in this </w:t>
      </w:r>
      <w:r w:rsidR="000B4B7B">
        <w:t>a</w:t>
      </w:r>
      <w:r w:rsidRPr="007044AC">
        <w:t>ct shall supersede Section 1-7-85.  The Attorney General’s office shall retain special counsel’s fees and costs awarded under its contract with outside counsel.”</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beginning on page [3375-10], by striking lines 1 through 24 in their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t>/</w:t>
      </w:r>
      <w:r w:rsidRPr="007044AC">
        <w:rPr>
          <w:u w:color="000000" w:themeColor="text1"/>
        </w:rPr>
        <w:tab/>
        <w:t>(C)</w:t>
      </w:r>
      <w:r w:rsidRPr="007044AC">
        <w:rPr>
          <w:u w:color="000000" w:themeColor="text1"/>
        </w:rPr>
        <w:tab/>
        <w:t xml:space="preserve">A violation of this article is not negligence per se, contributory negligence, </w:t>
      </w:r>
      <w:r w:rsidRPr="007044AC">
        <w:rPr>
          <w:u w:val="single" w:color="000000" w:themeColor="text1"/>
        </w:rPr>
        <w:t>or comparative negligence</w:t>
      </w:r>
      <w:r w:rsidRPr="007044AC">
        <w:rPr>
          <w:strike/>
          <w:u w:color="000000" w:themeColor="text1"/>
        </w:rPr>
        <w:t>, and is not admissible as evidence in a civil action</w:t>
      </w:r>
      <w:r w:rsidRPr="007044AC">
        <w:rPr>
          <w:u w:color="000000" w:themeColor="text1"/>
        </w:rPr>
        <w:t xml:space="preserve">.  </w:t>
      </w:r>
      <w:r w:rsidRPr="007044AC">
        <w:rPr>
          <w:u w:val="single" w:color="000000" w:themeColor="text1"/>
        </w:rPr>
        <w:t xml:space="preserve">Evidence may be admitted in a civil action to show that an injured person failed to </w:t>
      </w:r>
      <w:r w:rsidRPr="007044AC">
        <w:rPr>
          <w:u w:val="single" w:color="000000" w:themeColor="text1"/>
        </w:rPr>
        <w:lastRenderedPageBreak/>
        <w:t>wear a safety belt during an incident giving rise to the civil action, and that the person’s injuries would have been reduced by wearing a safety belt.  The evidence, if relevant, may be admitted only if:</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u w:color="000000" w:themeColor="text1"/>
        </w:rPr>
        <w:tab/>
      </w:r>
      <w:r w:rsidRPr="007044AC">
        <w:rPr>
          <w:u w:val="single" w:color="000000" w:themeColor="text1"/>
        </w:rPr>
        <w:t>(1)</w:t>
      </w:r>
      <w:r w:rsidRPr="007044AC">
        <w:rPr>
          <w:u w:color="000000" w:themeColor="text1"/>
        </w:rPr>
        <w:tab/>
      </w:r>
      <w:r w:rsidRPr="007044AC">
        <w:rPr>
          <w:u w:val="single" w:color="000000" w:themeColor="text1"/>
        </w:rPr>
        <w:t>the proponent of the evidence presents qualified, reliable, and competent expert testimony that the injured person failed to wear a safety belt and that the compensable injuries received would have been reduced had the injured person been wearing a safety belt;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u w:color="000000" w:themeColor="text1"/>
        </w:rPr>
        <w:tab/>
      </w:r>
      <w:r w:rsidRPr="007044AC">
        <w:rPr>
          <w:u w:val="single" w:color="000000" w:themeColor="text1"/>
        </w:rPr>
        <w:t>(2)</w:t>
      </w:r>
      <w:r w:rsidRPr="007044AC">
        <w:rPr>
          <w:u w:color="000000" w:themeColor="text1"/>
        </w:rPr>
        <w:tab/>
      </w:r>
      <w:r w:rsidRPr="007044AC">
        <w:rPr>
          <w:u w:val="single" w:color="000000" w:themeColor="text1"/>
        </w:rPr>
        <w:t xml:space="preserve">a court of competent jurisdiction admits the evidence, pursuant to the South Carolina Rules of Evidence;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rPr>
          <w:u w:color="000000" w:themeColor="text1"/>
        </w:rPr>
        <w:tab/>
      </w:r>
      <w:r w:rsidRPr="007044AC">
        <w:rPr>
          <w:u w:color="000000" w:themeColor="text1"/>
        </w:rPr>
        <w:tab/>
      </w:r>
      <w:r w:rsidRPr="007044AC">
        <w:rPr>
          <w:u w:val="single" w:color="000000" w:themeColor="text1"/>
        </w:rPr>
        <w:t>(3)</w:t>
      </w:r>
      <w:r w:rsidRPr="007044AC">
        <w:tab/>
      </w:r>
      <w:r w:rsidRPr="007044AC">
        <w:rPr>
          <w:u w:val="single" w:color="000000" w:themeColor="text1"/>
        </w:rPr>
        <w:t>the proponent of the evidence has not been convicted of or pled guilty or nolo contendere to a moving vehicle violation, pursuant to this subsection, which was a proximate cause of the incident giving rise to the civil action.  The moving vehicle violations are defined as: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(a)</w:t>
      </w:r>
      <w:r w:rsidRPr="007044AC">
        <w:tab/>
      </w:r>
      <w:r w:rsidRPr="007044AC">
        <w:rPr>
          <w:u w:val="single" w:color="000000" w:themeColor="text1"/>
        </w:rPr>
        <w:t>driving under the influence;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(b)</w:t>
      </w:r>
      <w:r w:rsidRPr="007044AC">
        <w:tab/>
      </w:r>
      <w:r w:rsidRPr="007044AC">
        <w:rPr>
          <w:u w:val="single" w:color="000000" w:themeColor="text1"/>
        </w:rPr>
        <w:t>reckless driving;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(c)</w:t>
      </w:r>
      <w:r w:rsidRPr="007044AC">
        <w:tab/>
      </w:r>
      <w:r w:rsidRPr="007044AC">
        <w:rPr>
          <w:u w:val="single" w:color="000000" w:themeColor="text1"/>
        </w:rPr>
        <w:t>any four</w:t>
      </w:r>
      <w:r w:rsidR="000B4B7B">
        <w:rPr>
          <w:u w:val="single" w:color="000000" w:themeColor="text1"/>
        </w:rPr>
        <w:t>-</w:t>
      </w:r>
      <w:r w:rsidRPr="007044AC">
        <w:rPr>
          <w:u w:val="single" w:color="000000" w:themeColor="text1"/>
        </w:rPr>
        <w:t xml:space="preserve"> to six-point offense;  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4AC">
        <w:tab/>
      </w:r>
      <w:r w:rsidRPr="007044AC">
        <w:tab/>
      </w:r>
      <w:r w:rsidRPr="007044AC">
        <w:tab/>
      </w:r>
      <w:r w:rsidRPr="007044AC">
        <w:rPr>
          <w:u w:val="single" w:color="000000" w:themeColor="text1"/>
        </w:rPr>
        <w:t>(d)</w:t>
      </w:r>
      <w:r w:rsidRPr="007044AC">
        <w:tab/>
      </w:r>
      <w:r w:rsidRPr="007044AC">
        <w:rPr>
          <w:u w:val="single" w:color="000000" w:themeColor="text1"/>
        </w:rPr>
        <w:t xml:space="preserve">a ‘serious traffic violation’, pursuant to </w:t>
      </w:r>
      <w:r w:rsidR="000B4B7B">
        <w:rPr>
          <w:u w:val="single" w:color="000000" w:themeColor="text1"/>
        </w:rPr>
        <w:t xml:space="preserve">Section </w:t>
      </w:r>
      <w:r w:rsidRPr="007044AC">
        <w:rPr>
          <w:u w:val="single" w:color="000000" w:themeColor="text1"/>
        </w:rPr>
        <w:t>56-1-2030(22).</w:t>
      </w:r>
      <w:r w:rsidRPr="007044AC">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tab/>
      </w:r>
      <w:r w:rsidRPr="007044AC">
        <w:tab/>
      </w:r>
      <w:r w:rsidRPr="007044AC">
        <w:rPr>
          <w:u w:val="single"/>
        </w:rPr>
        <w:t>(4)</w:t>
      </w:r>
      <w:r w:rsidRPr="007044AC">
        <w:tab/>
      </w:r>
      <w:r w:rsidRPr="007044AC">
        <w:rPr>
          <w:u w:val="single"/>
        </w:rPr>
        <w:t>the opposing party may introduce rebuttal evidence regarding the use of seatbelts introduced pursuant to this section.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rPr>
          <w:u w:color="000000" w:themeColor="text1"/>
        </w:rPr>
        <w:tab/>
      </w:r>
      <w:r w:rsidRPr="007044AC">
        <w:rPr>
          <w:u w:val="single" w:color="000000" w:themeColor="text1"/>
        </w:rPr>
        <w:t>(D)</w:t>
      </w:r>
      <w:r w:rsidRPr="007044AC">
        <w:rPr>
          <w:u w:color="000000" w:themeColor="text1"/>
        </w:rPr>
        <w:tab/>
      </w:r>
      <w:r w:rsidRPr="007044AC">
        <w:rPr>
          <w:u w:val="single" w:color="000000" w:themeColor="text1"/>
        </w:rPr>
        <w:t>Notwithstanding the admissibility of the evidence, pursuant to subsection (C), the evidence shall not be admissible if the plaintiff’s attorney stipulates the amount in controversy is less than $200,000.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(D)</w:t>
      </w:r>
      <w:r w:rsidRPr="007044AC">
        <w:rPr>
          <w:u w:val="single" w:color="000000" w:themeColor="text1"/>
        </w:rPr>
        <w:t>(E)</w:t>
      </w:r>
      <w:r w:rsidRPr="007044AC">
        <w:rPr>
          <w:u w:color="000000" w:themeColor="text1"/>
        </w:rPr>
        <w:tab/>
        <w:t xml:space="preserve">A vehicle, driver, or occupant in a vehicle must not be searched, nor may consent to search be requested by a law enforcement officer, solely because of a violation of this article.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(E)</w:t>
      </w:r>
      <w:r w:rsidRPr="007044AC">
        <w:rPr>
          <w:u w:val="single" w:color="000000" w:themeColor="text1"/>
        </w:rPr>
        <w:t>(F)</w:t>
      </w:r>
      <w:r w:rsidRPr="007044AC">
        <w:rPr>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7044AC">
        <w:rPr>
          <w:strike/>
          <w:u w:color="000000" w:themeColor="text1"/>
        </w:rPr>
        <w:t>of this chapter</w:t>
      </w:r>
      <w:r w:rsidRPr="007044AC">
        <w:rPr>
          <w:u w:color="000000" w:themeColor="text1"/>
        </w:rPr>
        <w:t xml:space="preserv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(F)</w:t>
      </w:r>
      <w:r w:rsidRPr="007044AC">
        <w:rPr>
          <w:u w:val="single" w:color="000000" w:themeColor="text1"/>
        </w:rPr>
        <w:t>(G)</w:t>
      </w:r>
      <w:r w:rsidRPr="007044AC">
        <w:rPr>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7044AC">
        <w:rPr>
          <w:u w:val="single" w:color="000000" w:themeColor="text1"/>
        </w:rPr>
        <w:t xml:space="preserve">the provisions of </w:t>
      </w:r>
      <w:r w:rsidRPr="007044AC">
        <w:rPr>
          <w:u w:color="000000" w:themeColor="text1"/>
        </w:rPr>
        <w:t>Section 56</w:t>
      </w:r>
      <w:r w:rsidRPr="007044AC">
        <w:rPr>
          <w:u w:color="000000" w:themeColor="text1"/>
        </w:rPr>
        <w:noBreakHyphen/>
        <w:t>5</w:t>
      </w:r>
      <w:r w:rsidRPr="007044AC">
        <w:rPr>
          <w:u w:color="000000" w:themeColor="text1"/>
        </w:rPr>
        <w:noBreakHyphen/>
        <w:t xml:space="preserve">6540.  If the trier of fact determines that the State has failed to prove beyond a reasonable </w:t>
      </w:r>
      <w:r w:rsidRPr="007044AC">
        <w:rPr>
          <w:u w:color="000000" w:themeColor="text1"/>
        </w:rPr>
        <w:lastRenderedPageBreak/>
        <w:t xml:space="preserve">doubt that the person was not wearing a safety belt, no penalty shall be assessed.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(G)</w:t>
      </w:r>
      <w:r w:rsidRPr="007044AC">
        <w:rPr>
          <w:u w:val="single" w:color="000000" w:themeColor="text1"/>
        </w:rPr>
        <w:t>(H)</w:t>
      </w:r>
      <w:r w:rsidRPr="007044AC">
        <w:rPr>
          <w:u w:color="000000" w:themeColor="text1"/>
        </w:rPr>
        <w:tab/>
        <w:t>A person found to be in violation of this article may bring an appeal to the court of common pleas pursuant to Section 18</w:t>
      </w:r>
      <w:r w:rsidRPr="007044AC">
        <w:rPr>
          <w:u w:color="000000" w:themeColor="text1"/>
        </w:rPr>
        <w:noBreakHyphen/>
        <w:t>3</w:t>
      </w:r>
      <w:r w:rsidRPr="007044AC">
        <w:rPr>
          <w:u w:color="000000" w:themeColor="text1"/>
        </w:rPr>
        <w:noBreakHyphen/>
        <w:t>10 or Section 14</w:t>
      </w:r>
      <w:r w:rsidRPr="007044AC">
        <w:rPr>
          <w:u w:color="000000" w:themeColor="text1"/>
        </w:rPr>
        <w:noBreakHyphen/>
        <w:t>25</w:t>
      </w:r>
      <w:r w:rsidRPr="007044AC">
        <w:rPr>
          <w:u w:color="000000" w:themeColor="text1"/>
        </w:rPr>
        <w:noBreakHyphen/>
        <w:t>95.”</w:t>
      </w:r>
      <w:r w:rsidRPr="007044AC">
        <w:rPr>
          <w:u w:color="000000" w:themeColor="text1"/>
        </w:rPr>
        <w:tab/>
      </w:r>
      <w:r w:rsidRPr="007044AC">
        <w:rPr>
          <w:u w:color="000000" w:themeColor="text1"/>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Amend the bill further, as and if amended, page [3375-10], after line 25, by adding the following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044AC">
        <w:rPr>
          <w:snapToGrid w:val="0"/>
        </w:rPr>
        <w:t>/</w:t>
      </w:r>
      <w:r w:rsidRPr="007044AC">
        <w:rPr>
          <w:snapToGrid w:val="0"/>
        </w:rPr>
        <w:tab/>
        <w:t>SECTION</w:t>
      </w:r>
      <w:r w:rsidRPr="007044AC">
        <w:rPr>
          <w:snapToGrid w:val="0"/>
        </w:rPr>
        <w:tab/>
        <w:t>__.</w:t>
      </w:r>
      <w:r w:rsidRPr="007044AC">
        <w:rPr>
          <w:u w:color="000000" w:themeColor="text1"/>
        </w:rPr>
        <w:tab/>
        <w:t xml:space="preserve">Article 1, Chapter 77, Title 38 of the 1976 Code is amended by adding: </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“Section 38</w:t>
      </w:r>
      <w:r w:rsidRPr="007044AC">
        <w:rPr>
          <w:sz w:val="22"/>
          <w:u w:color="000000" w:themeColor="text1"/>
        </w:rPr>
        <w:noBreakHyphen/>
        <w:t>77</w:t>
      </w:r>
      <w:r w:rsidRPr="007044AC">
        <w:rPr>
          <w:sz w:val="22"/>
          <w:u w:color="000000" w:themeColor="text1"/>
        </w:rPr>
        <w:noBreakHyphen/>
        <w:t>250.</w:t>
      </w:r>
      <w:r w:rsidRPr="007044AC">
        <w:rPr>
          <w:sz w:val="22"/>
          <w:u w:color="000000" w:themeColor="text1"/>
        </w:rPr>
        <w:tab/>
        <w:t>(A)</w:t>
      </w:r>
      <w:r w:rsidRPr="007044AC">
        <w:rPr>
          <w:sz w:val="22"/>
          <w:u w:color="000000" w:themeColor="text1"/>
        </w:rPr>
        <w:tab/>
        <w:t>Every insurer providing automobile insurance coverage in this State and which is or may be applicable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overnight delivery.  The request must also state that the attorney is authorized to make such a request and must be accompanied by a copy of the incident report from which the claim is derived.</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(B)</w:t>
      </w:r>
      <w:r w:rsidRPr="007044AC">
        <w:rPr>
          <w:sz w:val="22"/>
          <w:u w:color="000000" w:themeColor="text1"/>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(C)</w:t>
      </w:r>
      <w:r w:rsidRPr="007044AC">
        <w:rPr>
          <w:sz w:val="22"/>
          <w:u w:color="000000" w:themeColor="text1"/>
        </w:rPr>
        <w:tab/>
        <w:t>The information provided to a claimant or his attorney, as required by subsection (A) of this section, shall not create a waiver of any defenses to coverage available to the insurer and shall not be admissible in evidence.</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(D)</w:t>
      </w:r>
      <w:r w:rsidRPr="007044AC">
        <w:rPr>
          <w:sz w:val="22"/>
          <w:u w:color="000000" w:themeColor="text1"/>
        </w:rPr>
        <w:tab/>
        <w:t>The information provided to a claimant or his attorney, as required by subsection (A), shall be amended upon the discovery of facts inconsistent with or in addition to the information provided.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7044AC">
        <w:rPr>
          <w:szCs w:val="24"/>
          <w:u w:color="000000" w:themeColor="text1"/>
        </w:rPr>
        <w:tab/>
        <w:t>(E)</w:t>
      </w:r>
      <w:r w:rsidRPr="007044AC">
        <w:rPr>
          <w:szCs w:val="24"/>
          <w:u w:color="000000" w:themeColor="text1"/>
        </w:rPr>
        <w:tab/>
        <w:t>The information received pursuant to this section is confidential and must not be disclosed to any outside party except as required to pursue the claim.  The court may impose sanctions for a violation of this subsection.”</w:t>
      </w:r>
      <w:r w:rsidRPr="007044AC">
        <w:rPr>
          <w:szCs w:val="24"/>
          <w:u w:color="000000" w:themeColor="text1"/>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t>Amend the bill further, as and if amended, by adding an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__.</w:t>
      </w:r>
      <w:r w:rsidRPr="007044AC">
        <w:rPr>
          <w:snapToGrid w:val="0"/>
        </w:rPr>
        <w:tab/>
        <w:t>Chapter 78, Title 15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w:t>
      </w:r>
      <w:r w:rsidRPr="007044AC">
        <w:rPr>
          <w:snapToGrid w:val="0"/>
        </w:rPr>
        <w:tab/>
        <w:t>15-78-125.</w:t>
      </w:r>
      <w:r w:rsidRPr="007044AC">
        <w:rPr>
          <w:snapToGrid w:val="0"/>
        </w:rPr>
        <w:tab/>
        <w:t>The provisions of Article 5, Chapter 32, Title 15 do not affect any right, privilege, or provision of the South Carolina Tort Claims Act pursuant to this chapter or the South Carolina Solicitation of Charitable Funds Act as contained in Chapter 56, Title 33.”</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an appropriately numbered SECTION to read:</w:t>
      </w:r>
    </w:p>
    <w:p w:rsidR="006C21AC" w:rsidRPr="007044AC" w:rsidRDefault="006C21AC" w:rsidP="006C21A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0"/>
        </w:rPr>
      </w:pPr>
      <w:r>
        <w:rPr>
          <w:snapToGrid w:val="0"/>
          <w:sz w:val="22"/>
          <w:szCs w:val="20"/>
        </w:rPr>
        <w:tab/>
      </w:r>
      <w:r w:rsidRPr="007044AC">
        <w:rPr>
          <w:snapToGrid w:val="0"/>
          <w:sz w:val="22"/>
          <w:szCs w:val="20"/>
        </w:rPr>
        <w:t>/</w:t>
      </w:r>
      <w:r w:rsidRPr="007044AC">
        <w:rPr>
          <w:snapToGrid w:val="0"/>
          <w:sz w:val="22"/>
          <w:szCs w:val="20"/>
        </w:rPr>
        <w:tab/>
        <w:t>SECTION</w:t>
      </w:r>
      <w:r w:rsidRPr="007044AC">
        <w:rPr>
          <w:snapToGrid w:val="0"/>
          <w:sz w:val="22"/>
          <w:szCs w:val="20"/>
        </w:rPr>
        <w:tab/>
        <w:t>__.</w:t>
      </w:r>
      <w:r w:rsidRPr="007044AC">
        <w:rPr>
          <w:snapToGrid w:val="0"/>
          <w:sz w:val="22"/>
          <w:szCs w:val="20"/>
        </w:rPr>
        <w:tab/>
        <w:t>Section 15-78-120 of the 1976 Code is amended by adding a subitem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“(d)</w:t>
      </w:r>
      <w:r w:rsidRPr="007044AC">
        <w:rPr>
          <w:snapToGrid w:val="0"/>
        </w:rPr>
        <w:tab/>
      </w:r>
      <w:r w:rsidRPr="007044AC">
        <w:t>At the end of each calendar year, the State Budget and Control Board, Board of Economic Advisors must determine the increase or decrease in the ratio of the Consumer Price Index to the index as of December 31 of the previous year, and the maximum amount recoverable under the State Tort Claims Act pursuant to subsection (a) must be increased or decreased accordingly.  As soon as practicable after this adjustment is calculated, the Director of the State Budget and Control Board shall submit the revised maximum amount recoverable for damages under the State Tort Claims Act for publication, to the State Register pursuant to Section 1-23-40(2), and the revised maximum amount recoverable for damages under the State Tort Claims Act becomes effective upon publication in the State Register.  For purposes of this subsection, ‘Consumer Price Index’ means the Consumer Price Index for All Urban Consumers as published by the United States Department of Labor, Bureau of Labor Statistics.”</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appropriately numbered SECTIONS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__.</w:t>
      </w:r>
      <w:r w:rsidRPr="007044AC">
        <w:rPr>
          <w:snapToGrid w:val="0"/>
        </w:rPr>
        <w:tab/>
        <w:t>Chapter 73, Title 15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 xml:space="preserv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15-73-11.</w:t>
      </w:r>
      <w:r w:rsidRPr="007044AC">
        <w:rPr>
          <w:snapToGrid w:val="0"/>
        </w:rPr>
        <w:tab/>
        <w:t>(1)</w:t>
      </w:r>
      <w:r w:rsidRPr="007044AC">
        <w:rPr>
          <w:snapToGrid w:val="0"/>
        </w:rPr>
        <w:tab/>
        <w:t xml:space="preserve">One who sells any product in a defective condition unreasonably dangerous to the user or consumer or to his property is subject to liability for physical harm caused to the ultimate user or consumer, or to his property, if: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(a)</w:t>
      </w:r>
      <w:r w:rsidRPr="007044AC">
        <w:rPr>
          <w:snapToGrid w:val="0"/>
        </w:rPr>
        <w:tab/>
        <w:t xml:space="preserve">the seller is engaged in the business of selling such a product;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(b)</w:t>
      </w:r>
      <w:r w:rsidRPr="007044AC">
        <w:rPr>
          <w:snapToGrid w:val="0"/>
        </w:rPr>
        <w:tab/>
        <w:t xml:space="preserve">it is expected to and does reach the user or consumer without substantial change in the condition in which it is sold.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(2)</w:t>
      </w:r>
      <w:r w:rsidRPr="007044AC">
        <w:rPr>
          <w:snapToGrid w:val="0"/>
        </w:rPr>
        <w:tab/>
        <w:t xml:space="preserve">The rule stated in subsection (1) shall apply although: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(a)</w:t>
      </w:r>
      <w:r w:rsidRPr="007044AC">
        <w:rPr>
          <w:snapToGrid w:val="0"/>
        </w:rPr>
        <w:tab/>
        <w:t xml:space="preserve">the seller has exercised all possible care in the preparation and sale of his product;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(b)</w:t>
      </w:r>
      <w:r w:rsidRPr="007044AC">
        <w:rPr>
          <w:snapToGrid w:val="0"/>
        </w:rPr>
        <w:tab/>
        <w:t xml:space="preserve">the user or consumer has not bought the product from or entered into any contractual relation with the seller.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15-73-21.</w:t>
      </w:r>
      <w:r w:rsidRPr="007044AC">
        <w:rPr>
          <w:snapToGrid w:val="0"/>
        </w:rPr>
        <w:tab/>
        <w:t xml:space="preserve">If the user or consumer discovers the defect and is aware of the danger, and nevertheless proceeds unreasonably to make use of the product and is injured by it, he is barred from recovery.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15-73-31.</w:t>
      </w:r>
      <w:r w:rsidRPr="007044AC">
        <w:rPr>
          <w:snapToGrid w:val="0"/>
        </w:rPr>
        <w:tab/>
        <w:t>Comments to Section 402A of the Restatement of Torts, Second, are incorporated herein by reference thereto as the legislative intent of this chapter.”</w:t>
      </w:r>
      <w:r w:rsidRPr="007044AC">
        <w:rPr>
          <w:snapToGrid w:val="0"/>
        </w:rPr>
        <w:tab/>
      </w:r>
      <w:r w:rsidRPr="007044AC">
        <w:rPr>
          <w:snapToGrid w:val="0"/>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w:t>
      </w:r>
      <w:r w:rsidRPr="007044AC">
        <w:rPr>
          <w:snapToGrid w:val="0"/>
        </w:rPr>
        <w:tab/>
        <w:t>__.</w:t>
      </w:r>
      <w:r w:rsidRPr="007044AC">
        <w:rPr>
          <w:snapToGrid w:val="0"/>
        </w:rPr>
        <w:tab/>
        <w:t>Sections 15-73</w:t>
      </w:r>
      <w:r w:rsidR="000B4B7B">
        <w:rPr>
          <w:snapToGrid w:val="0"/>
        </w:rPr>
        <w:t>-10,</w:t>
      </w:r>
      <w:r w:rsidRPr="007044AC">
        <w:rPr>
          <w:snapToGrid w:val="0"/>
        </w:rPr>
        <w:t xml:space="preserve"> 15-73-20</w:t>
      </w:r>
      <w:r w:rsidR="000B4B7B">
        <w:rPr>
          <w:snapToGrid w:val="0"/>
        </w:rPr>
        <w:t>,</w:t>
      </w:r>
      <w:r w:rsidRPr="007044AC">
        <w:rPr>
          <w:snapToGrid w:val="0"/>
        </w:rPr>
        <w:t xml:space="preserve"> 15-73-30</w:t>
      </w:r>
      <w:r w:rsidR="000B4B7B">
        <w:rPr>
          <w:snapToGrid w:val="0"/>
        </w:rPr>
        <w:t>,</w:t>
      </w:r>
      <w:r w:rsidRPr="007044AC">
        <w:rPr>
          <w:snapToGrid w:val="0"/>
        </w:rPr>
        <w:t xml:space="preserve"> and 15-33-135 of the 1976 Code are repealed.</w:t>
      </w:r>
      <w:r w:rsidRPr="007044AC">
        <w:rPr>
          <w:snapToGrid w:val="0"/>
        </w:rPr>
        <w:tab/>
      </w:r>
      <w:r w:rsidRPr="007044AC">
        <w:rPr>
          <w:snapToGrid w:val="0"/>
        </w:rPr>
        <w:tab/>
        <w:t>/</w:t>
      </w:r>
      <w:r w:rsidRPr="007044AC">
        <w:rPr>
          <w:snapToGrid w:val="0"/>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an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w:t>
      </w:r>
      <w:r w:rsidRPr="007044AC">
        <w:tab/>
      </w:r>
      <w:r w:rsidRPr="007044AC">
        <w:tab/>
        <w:t>SECTION</w:t>
      </w:r>
      <w:r w:rsidRPr="007044AC">
        <w:tab/>
        <w:t>__.</w:t>
      </w:r>
      <w:r w:rsidRPr="007044AC">
        <w:tab/>
        <w:t>Section 15-36-10(C) of the 1976 Code is amended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4AC">
        <w:rPr>
          <w:szCs w:val="24"/>
        </w:rPr>
        <w:tab/>
        <w:t>“Section 15-36-10.</w:t>
      </w:r>
      <w:r w:rsidRPr="007044AC">
        <w:rPr>
          <w:szCs w:val="24"/>
        </w:rPr>
        <w:tab/>
        <w:t>(C)(1)</w:t>
      </w:r>
      <w:r w:rsidRPr="007044AC">
        <w:rPr>
          <w:szCs w:val="24"/>
        </w:rPr>
        <w:tab/>
        <w:t xml:space="preserve">At the conclusion of a trial and after a verdict for or a verdict against damages has been rendered </w:t>
      </w:r>
      <w:r w:rsidRPr="007044AC">
        <w:rPr>
          <w:strike/>
          <w:szCs w:val="24"/>
        </w:rPr>
        <w:t xml:space="preserve">or a case has been dismissed by a directed verdict, summary judgment, </w:t>
      </w:r>
      <w:r w:rsidRPr="007044AC">
        <w:rPr>
          <w:szCs w:val="24"/>
        </w:rPr>
        <w:t xml:space="preserve">or </w:t>
      </w:r>
      <w:r w:rsidRPr="007044AC">
        <w:rPr>
          <w:szCs w:val="24"/>
          <w:u w:val="single"/>
        </w:rPr>
        <w:t>after entering a</w:t>
      </w:r>
      <w:r w:rsidRPr="007044AC">
        <w:rPr>
          <w:szCs w:val="24"/>
        </w:rPr>
        <w:t xml:space="preserve">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(a)</w:t>
      </w:r>
      <w:r w:rsidRPr="007044AC">
        <w:rPr>
          <w:szCs w:val="24"/>
        </w:rPr>
        <w:tab/>
        <w:t xml:space="preserve">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(b)</w:t>
      </w:r>
      <w:r w:rsidRPr="007044AC">
        <w:rPr>
          <w:szCs w:val="24"/>
        </w:rPr>
        <w:tab/>
        <w:t xml:space="preserve">a reasonable attorney in the same circumstances would believe that his procurement, initiation, continuation, or defense of the civil suit was intended merely to harass or injure the other party; 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(c)</w:t>
      </w:r>
      <w:r w:rsidRPr="007044AC">
        <w:rPr>
          <w:szCs w:val="24"/>
        </w:rPr>
        <w:tab/>
        <w:t xml:space="preserve">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t>(2)</w:t>
      </w:r>
      <w:r w:rsidRPr="007044AC">
        <w:rPr>
          <w:szCs w:val="24"/>
        </w:rPr>
        <w:tab/>
        <w:t xml:space="preserve">Unless the court finds by a preponderance of the evidence that an attorney, party, or pro se litigant engaged in </w:t>
      </w:r>
      <w:r w:rsidRPr="007044AC">
        <w:rPr>
          <w:szCs w:val="24"/>
        </w:rPr>
        <w:lastRenderedPageBreak/>
        <w:t xml:space="preserve">advancing a frivolous claim or defense, the attorney, party, or pro se litigant shall not be sanctioned.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ab/>
      </w:r>
      <w:r w:rsidRPr="007044AC">
        <w:rPr>
          <w:u w:val="single"/>
        </w:rPr>
        <w:t>(3)</w:t>
      </w:r>
      <w:r w:rsidRPr="007044AC">
        <w:tab/>
      </w:r>
      <w:r w:rsidRPr="007044AC">
        <w:rPr>
          <w:u w:val="single"/>
        </w:rPr>
        <w:t>A case dismissed by a directed verdict or summary judgment is presumed to be frivolous per se, and sanctions described in subsection (G) must be ordered by the court, unless the court finds for good cause shown it was not frivolous or sanctions should not be imposed.</w:t>
      </w:r>
      <w:r w:rsidRPr="007044AC">
        <w:t>”</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the bill further, as and if amended, page [3375-11], lines 20-21, by striking SECTION 10 in its entirety and inserting the following: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10.</w:t>
      </w:r>
      <w:r w:rsidRPr="007044AC">
        <w:rPr>
          <w:snapToGrid w:val="0"/>
        </w:rPr>
        <w:tab/>
        <w:t>This act takes effect January 1, 2012, and applies to all actions that accrue on or after the effective date except the provisions of SECTION 3 do not apply to any matter pending on the effective date of this act.</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Renumber sections to conform.</w:t>
      </w:r>
    </w:p>
    <w:p w:rsidR="006C21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title to conform.</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21AC" w:rsidRDefault="006C21AC" w:rsidP="00B233F9">
      <w:pPr>
        <w:pStyle w:val="BillDots"/>
      </w:pPr>
      <w:r>
        <w:t>LARRY A. MARTIN for Committee.</w:t>
      </w:r>
    </w:p>
    <w:p w:rsidR="006C21AC" w:rsidRPr="006C21AC" w:rsidRDefault="006C21AC" w:rsidP="006C21AC">
      <w:pPr>
        <w:pStyle w:val="BillDots"/>
        <w:jc w:val="center"/>
      </w:pPr>
      <w:r>
        <w:rPr>
          <w:u w:val="single"/>
        </w:rPr>
        <w:t>            </w:t>
      </w:r>
    </w:p>
    <w:p w:rsidR="003832C8" w:rsidRDefault="003832C8" w:rsidP="00B233F9">
      <w:pPr>
        <w:pStyle w:val="BillDots"/>
      </w:pPr>
    </w:p>
    <w:p w:rsidR="006C21AC" w:rsidRPr="006C21AC" w:rsidRDefault="006C21AC" w:rsidP="006C21AC">
      <w:pPr>
        <w:pStyle w:val="BillDots"/>
        <w:jc w:val="center"/>
      </w:pPr>
      <w:r>
        <w:rPr>
          <w:b/>
          <w:u w:val="single"/>
        </w:rPr>
        <w:t>STATEMENT OF ESTIMATED FISCAL IMPACT</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5ECF">
        <w:rPr>
          <w:szCs w:val="22"/>
        </w:rPr>
        <w:t>ESTIMATED FISCAL IMPACT ON GENERAL FUND EXPENDITURES:</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5ECF">
        <w:rPr>
          <w:szCs w:val="22"/>
        </w:rPr>
        <w:t>$0 (No additional expenditures or savings are expected)</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5ECF">
        <w:rPr>
          <w:szCs w:val="22"/>
        </w:rPr>
        <w:t>ESTIMATED FISCAL IMPACT ON FEDERAL &amp; OTHER FUND EXPENDITURES:</w:t>
      </w:r>
    </w:p>
    <w:p w:rsidR="006C21AC" w:rsidRPr="00BB5ECF" w:rsidRDefault="006C21AC" w:rsidP="006C21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5ECF">
        <w:rPr>
          <w:szCs w:val="22"/>
        </w:rPr>
        <w:t>$0 (No additional expenditures or savings are expected)</w:t>
      </w:r>
      <w:bookmarkStart w:id="2" w:name="c"/>
      <w:bookmarkEnd w:id="2"/>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5ECF">
        <w:rPr>
          <w:b/>
          <w:szCs w:val="22"/>
        </w:rPr>
        <w:t>EXPLANATION OF IMPACT:</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5ECF">
        <w:rPr>
          <w:szCs w:val="22"/>
        </w:rPr>
        <w:t>The Attorney General's Office, Judicial Department, Prosecution Coordination Commission and Budget and Control Board each indicate this</w:t>
      </w:r>
      <w:r>
        <w:rPr>
          <w:szCs w:val="22"/>
        </w:rPr>
        <w:t xml:space="preserve"> b</w:t>
      </w:r>
      <w:r w:rsidRPr="00BB5ECF">
        <w:rPr>
          <w:szCs w:val="22"/>
        </w:rPr>
        <w:t xml:space="preserve">ill will have no impact on the General Fund of the State, or on </w:t>
      </w:r>
      <w:r>
        <w:rPr>
          <w:szCs w:val="22"/>
        </w:rPr>
        <w:t>f</w:t>
      </w:r>
      <w:r w:rsidRPr="00BB5ECF">
        <w:rPr>
          <w:szCs w:val="22"/>
        </w:rPr>
        <w:t xml:space="preserve">ederal and/or </w:t>
      </w:r>
      <w:r>
        <w:rPr>
          <w:szCs w:val="22"/>
        </w:rPr>
        <w:t>o</w:t>
      </w:r>
      <w:r w:rsidRPr="00BB5ECF">
        <w:rPr>
          <w:szCs w:val="22"/>
        </w:rPr>
        <w:t xml:space="preserve">ther </w:t>
      </w:r>
      <w:r>
        <w:rPr>
          <w:szCs w:val="22"/>
        </w:rPr>
        <w:t>f</w:t>
      </w:r>
      <w:r w:rsidRPr="00BB5ECF">
        <w:rPr>
          <w:szCs w:val="22"/>
        </w:rPr>
        <w:t>unds.</w:t>
      </w:r>
      <w:r w:rsidRPr="00BB5ECF">
        <w:rPr>
          <w:noProof/>
          <w:szCs w:val="22"/>
        </w:rPr>
        <w:t xml:space="preserve">  </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5ECF">
        <w:rPr>
          <w:b/>
          <w:szCs w:val="22"/>
        </w:rPr>
        <w:t>SPECIAL NOTES:</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sn"/>
      <w:bookmarkEnd w:id="3"/>
      <w:r>
        <w:rPr>
          <w:szCs w:val="22"/>
        </w:rPr>
        <w:tab/>
      </w:r>
      <w:r w:rsidRPr="00BB5ECF">
        <w:rPr>
          <w:szCs w:val="22"/>
        </w:rPr>
        <w:t xml:space="preserve">The Board of Economic Advisors is the appropriate entity to address any revenue impact associated with this </w:t>
      </w:r>
      <w:r>
        <w:rPr>
          <w:szCs w:val="22"/>
        </w:rPr>
        <w:t>b</w:t>
      </w:r>
      <w:r w:rsidRPr="00BB5ECF">
        <w:rPr>
          <w:szCs w:val="22"/>
        </w:rPr>
        <w:t>ill.</w:t>
      </w:r>
    </w:p>
    <w:p w:rsidR="006C21AC" w:rsidRDefault="006C21AC" w:rsidP="00B233F9">
      <w:pPr>
        <w:pStyle w:val="BillDots"/>
      </w:pP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t>Harry Bell</w:t>
      </w: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C21AC" w:rsidRDefault="006C21AC" w:rsidP="00B233F9">
      <w:pPr>
        <w:pStyle w:val="BillDots"/>
        <w:sectPr w:rsidR="006C21AC"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w:t>
      </w:r>
      <w:r>
        <w:t>1</w:t>
      </w:r>
      <w:r w:rsidRPr="001B3A93">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would ca</w:t>
      </w:r>
      <w:r>
        <w:rPr>
          <w:sz w:val="22"/>
          <w:u w:color="000000" w:themeColor="text1"/>
        </w:rPr>
        <w:t>use injury or damage;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fact finder determines that the defendant acted or failed to act while under the influence of alcohol, drugs, other than lawfully prescribed drugs administered in accordance with a </w:t>
      </w:r>
      <w:r w:rsidRPr="001B3A93">
        <w:rPr>
          <w:sz w:val="22"/>
          <w:u w:color="000000" w:themeColor="text1"/>
        </w:rPr>
        <w:lastRenderedPageBreak/>
        <w:t>prescription, or any intentionally consumed glue, aerosol, or other toxic vapor to the degree that defendant’s judgment is substantially impaired.</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lastRenderedPageBreak/>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w:t>
      </w:r>
      <w:r w:rsidRPr="001B3A93">
        <w:rPr>
          <w:u w:color="000000" w:themeColor="text1"/>
        </w:rPr>
        <w:lastRenderedPageBreak/>
        <w:t>Attorney General or circuit solicitor shall determine the monetary value to the State;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w:t>
      </w:r>
      <w:r w:rsidRPr="001B3A93">
        <w:rPr>
          <w:bCs/>
          <w:snapToGrid w:val="0"/>
          <w:u w:color="000000" w:themeColor="text1"/>
        </w:rPr>
        <w:lastRenderedPageBreak/>
        <w:t>to the Freedom of Information Act as provided in Chapter 4, Title 30.”</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w:t>
      </w:r>
      <w:r w:rsidRPr="001B3A93">
        <w:rPr>
          <w:rFonts w:eastAsiaTheme="minorEastAsia"/>
          <w:szCs w:val="24"/>
          <w:u w:color="000000" w:themeColor="text1"/>
        </w:rPr>
        <w:lastRenderedPageBreak/>
        <w:t xml:space="preserve">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lastRenderedPageBreak/>
        <w:tab/>
        <w:t>(C)</w:t>
      </w:r>
      <w:r w:rsidRPr="001B3A93">
        <w:tab/>
      </w:r>
      <w:r w:rsidRPr="001B3A93">
        <w:rPr>
          <w:strike/>
        </w:rPr>
        <w:t xml:space="preserve">A violation of this article is not negligence per se or contributory negligence, and is not admissible as evidence in a civil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1B3A93">
        <w:rPr>
          <w:u w:color="000000" w:themeColor="text1"/>
        </w:rPr>
        <w:lastRenderedPageBreak/>
        <w:t>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w:t>
      </w:r>
      <w:r>
        <w:rPr>
          <w:u w:color="000000" w:themeColor="text1"/>
        </w:rPr>
        <w:t>1</w:t>
      </w:r>
      <w:r w:rsidRPr="001B3A93">
        <w:rPr>
          <w:u w:color="000000" w:themeColor="text1"/>
        </w:rPr>
        <w:t>, and applies to all actions filed on or after this date.</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397075">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4521279-8187-4E5B-B684-E21FDECCD4A6}"/>
    <w:embedBold r:id="rId2" w:fontKey="{05FF0FCF-4B84-4FFC-A7DF-567DF2ED39A1}"/>
    <w:embedItalic r:id="rId3" w:fontKey="{8900CC5F-0D8F-421B-861E-EB1ABB4B8678}"/>
  </w:font>
  <w:font w:name="Calibri">
    <w:panose1 w:val="020F0502020204030204"/>
    <w:charset w:val="00"/>
    <w:family w:val="swiss"/>
    <w:pitch w:val="variable"/>
    <w:sig w:usb0="A00002EF" w:usb1="4000207B" w:usb2="00000000" w:usb3="00000000" w:csb0="0000009F" w:csb1="00000000"/>
    <w:embedRegular r:id="rId4" w:fontKey="{1E7B27BB-9D54-40C5-91AA-75489E8CC614}"/>
  </w:font>
  <w:font w:name="Tahoma">
    <w:panose1 w:val="020B0604030504040204"/>
    <w:charset w:val="00"/>
    <w:family w:val="swiss"/>
    <w:pitch w:val="variable"/>
    <w:sig w:usb0="61002A87" w:usb1="80000000" w:usb2="00000008" w:usb3="00000000" w:csb0="000101FF" w:csb1="00000000"/>
    <w:embedRegular r:id="rId5" w:fontKey="{0A5EAA25-370B-4103-B502-57D3326A257A}"/>
  </w:font>
  <w:font w:name="Cambria">
    <w:panose1 w:val="02040503050406030204"/>
    <w:charset w:val="00"/>
    <w:family w:val="roman"/>
    <w:pitch w:val="variable"/>
    <w:sig w:usb0="A00002EF" w:usb1="4000004B" w:usb2="00000000" w:usb3="00000000" w:csb0="0000009F" w:csb1="00000000"/>
    <w:embedRegular r:id="rId6" w:fontKey="{0C814427-8C2B-478E-B272-B70340381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397075">
        <w:rPr>
          <w:noProof/>
        </w:rPr>
        <w:t>12</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3970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9616E"/>
    <w:rsid w:val="000B4B7B"/>
    <w:rsid w:val="000E0106"/>
    <w:rsid w:val="000E1785"/>
    <w:rsid w:val="000F40FA"/>
    <w:rsid w:val="0010776B"/>
    <w:rsid w:val="00133E66"/>
    <w:rsid w:val="001435A3"/>
    <w:rsid w:val="001C440C"/>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97075"/>
    <w:rsid w:val="003D01E8"/>
    <w:rsid w:val="003E5288"/>
    <w:rsid w:val="003F6D79"/>
    <w:rsid w:val="0040727C"/>
    <w:rsid w:val="0041760A"/>
    <w:rsid w:val="00417C01"/>
    <w:rsid w:val="004809EE"/>
    <w:rsid w:val="004B6CF0"/>
    <w:rsid w:val="004C7358"/>
    <w:rsid w:val="004E7D54"/>
    <w:rsid w:val="005273C6"/>
    <w:rsid w:val="00530A69"/>
    <w:rsid w:val="00545593"/>
    <w:rsid w:val="00553B43"/>
    <w:rsid w:val="00577C6C"/>
    <w:rsid w:val="005C1CBB"/>
    <w:rsid w:val="005C2FE2"/>
    <w:rsid w:val="005D58CE"/>
    <w:rsid w:val="005E2BC9"/>
    <w:rsid w:val="005F14D0"/>
    <w:rsid w:val="005F7E30"/>
    <w:rsid w:val="00605102"/>
    <w:rsid w:val="006215AA"/>
    <w:rsid w:val="006251CA"/>
    <w:rsid w:val="006913C9"/>
    <w:rsid w:val="0069470D"/>
    <w:rsid w:val="006C21AC"/>
    <w:rsid w:val="00734F00"/>
    <w:rsid w:val="00743721"/>
    <w:rsid w:val="007A70AE"/>
    <w:rsid w:val="008362E8"/>
    <w:rsid w:val="008954F4"/>
    <w:rsid w:val="008A1768"/>
    <w:rsid w:val="008F4429"/>
    <w:rsid w:val="00927341"/>
    <w:rsid w:val="0094021A"/>
    <w:rsid w:val="009740B2"/>
    <w:rsid w:val="009C6A0B"/>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345E"/>
    <w:rsid w:val="00C3483A"/>
    <w:rsid w:val="00C61228"/>
    <w:rsid w:val="00C74E9D"/>
    <w:rsid w:val="00C82FD3"/>
    <w:rsid w:val="00C92819"/>
    <w:rsid w:val="00CA1FE3"/>
    <w:rsid w:val="00CC6B7B"/>
    <w:rsid w:val="00CD2089"/>
    <w:rsid w:val="00D73A67"/>
    <w:rsid w:val="00D970A9"/>
    <w:rsid w:val="00D972C0"/>
    <w:rsid w:val="00DF3845"/>
    <w:rsid w:val="00E41911"/>
    <w:rsid w:val="00E92EEF"/>
    <w:rsid w:val="00EA43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 w:type="paragraph" w:customStyle="1" w:styleId="amargin1">
    <w:name w:val="amargin1"/>
    <w:basedOn w:val="Normal"/>
    <w:rsid w:val="006C21AC"/>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553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B4C57-51E2-479A-8610-B712A9AB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7611</Words>
  <Characters>43389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2010-12-13T13:50:00Z</cp:lastPrinted>
  <dcterms:created xsi:type="dcterms:W3CDTF">2011-03-02T15:43:00Z</dcterms:created>
  <dcterms:modified xsi:type="dcterms:W3CDTF">2011-03-02T15:43:00Z</dcterms:modified>
</cp:coreProperties>
</file>