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5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AS AMENDED, CODE OF LAWS OF SOUTH CAROLINA, 1976, RELATED TO MAGISTRATES</w:t>
      </w:r>
      <w:r w:rsidRPr="00FF5A9B">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AN ARREST WARRANT MAY NOT BE ISSUED FOR THE ARREST OF A PERSON UNLESS SOUGHT BY A MEMBER OF A LAW ENFORCEMENT AGENCY ACTING IN THEIR OFFICIAL CAPACITY, TO PROVIDE THAT IF AN ARREST WARRANT IS SOUGHT BY SOMEONE OTHER THAN A LAW ENFORCEMENT OFFICER, THE COURT MUST ISSUE A COURTESY SUMMONS, AND TO PROVIDE FOR EXCEPTIONS UNDER CERTAIN CIRCUMSTANCES.</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9B" w:rsidRPr="00F20062" w:rsidRDefault="00BA541A"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SECTION</w:t>
      </w:r>
      <w:r>
        <w:tab/>
        <w:t>1.</w:t>
      </w:r>
      <w:r>
        <w:tab/>
      </w:r>
      <w:r w:rsidR="00FF5A9B" w:rsidRPr="00F20062">
        <w:tab/>
      </w:r>
      <w:r w:rsidR="00FF5A9B" w:rsidRPr="00F20062">
        <w:rPr>
          <w:rFonts w:eastAsia="Calibri"/>
          <w:color w:val="000000"/>
          <w:u w:color="000000"/>
        </w:rPr>
        <w:t>Section 22</w:t>
      </w:r>
      <w:r w:rsidR="00FF5A9B">
        <w:rPr>
          <w:color w:val="000000" w:themeColor="text1"/>
          <w:u w:color="000000" w:themeColor="text1"/>
        </w:rPr>
        <w:noBreakHyphen/>
      </w:r>
      <w:r w:rsidR="00FF5A9B" w:rsidRPr="00F20062">
        <w:rPr>
          <w:rFonts w:eastAsia="Calibri"/>
          <w:color w:val="000000"/>
          <w:u w:color="000000"/>
        </w:rPr>
        <w:t>5</w:t>
      </w:r>
      <w:r w:rsidR="00FF5A9B">
        <w:rPr>
          <w:color w:val="000000" w:themeColor="text1"/>
          <w:u w:color="000000" w:themeColor="text1"/>
        </w:rPr>
        <w:noBreakHyphen/>
      </w:r>
      <w:r w:rsidR="00FF5A9B" w:rsidRPr="00F20062">
        <w:rPr>
          <w:rFonts w:eastAsia="Calibri"/>
          <w:color w:val="000000"/>
          <w:u w:color="000000"/>
        </w:rPr>
        <w:t>110 of the 1976 Code</w:t>
      </w:r>
      <w:r w:rsidR="00FF5A9B">
        <w:rPr>
          <w:rFonts w:eastAsia="Calibri"/>
          <w:color w:val="000000"/>
          <w:u w:color="000000"/>
        </w:rPr>
        <w:t xml:space="preserve">, as last amended by Act 346 of 2008, </w:t>
      </w:r>
      <w:r w:rsidR="00FF5A9B" w:rsidRPr="00F20062">
        <w:rPr>
          <w:rFonts w:eastAsia="Calibri"/>
          <w:color w:val="000000"/>
          <w:u w:color="000000"/>
        </w:rPr>
        <w:t>is</w:t>
      </w:r>
      <w:r w:rsidR="00FF5A9B">
        <w:rPr>
          <w:rFonts w:eastAsia="Calibri"/>
          <w:color w:val="000000"/>
          <w:u w:color="000000"/>
        </w:rPr>
        <w:t xml:space="preserve"> further</w:t>
      </w:r>
      <w:r w:rsidR="00FF5A9B" w:rsidRPr="00F20062">
        <w:rPr>
          <w:rFonts w:eastAsia="Calibri"/>
          <w:color w:val="000000"/>
          <w:u w:color="000000"/>
        </w:rPr>
        <w:t xml:space="preserve"> amended to read:</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Pr>
          <w:color w:val="000000" w:themeColor="text1"/>
          <w:u w:color="000000" w:themeColor="text1"/>
        </w:rPr>
        <w:noBreakHyphen/>
      </w:r>
      <w:r w:rsidRPr="00F20062">
        <w:rPr>
          <w:rFonts w:eastAsia="Calibri"/>
          <w:color w:val="000000"/>
          <w:u w:color="000000"/>
        </w:rPr>
        <w:t>5</w:t>
      </w:r>
      <w:r>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r>
      <w:r>
        <w:rPr>
          <w:rFonts w:eastAsia="Calibri"/>
          <w:color w:val="000000"/>
          <w:u w:color="000000"/>
        </w:rPr>
        <w:tab/>
      </w:r>
      <w:r w:rsidRPr="00F20062">
        <w:rPr>
          <w:rFonts w:eastAsia="Calibri"/>
          <w:color w:val="000000"/>
          <w:u w:color="000000"/>
        </w:rPr>
        <w:t>(A)</w:t>
      </w:r>
      <w:r w:rsidRPr="00F20062">
        <w:rPr>
          <w:rFonts w:eastAsia="Calibri"/>
          <w:color w:val="000000"/>
          <w:u w:color="000000"/>
        </w:rPr>
        <w:tab/>
        <w:t>Magistrates shall</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Pr>
          <w:rFonts w:eastAsia="Calibri"/>
          <w:color w:val="000000"/>
          <w:u w:color="000000"/>
        </w:rPr>
        <w:t xml:space="preserve"> </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Pr>
          <w:rFonts w:eastAsia="Calibri"/>
          <w:color w:val="000000"/>
          <w:u w:color="000000"/>
        </w:rPr>
        <w:t xml:space="preserve"> </w:t>
      </w:r>
      <w:r w:rsidRPr="00F20062">
        <w:rPr>
          <w:rFonts w:eastAsia="Calibri"/>
          <w:color w:val="000000"/>
          <w:u w:val="single"/>
        </w:rPr>
        <w:t>the county;</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lastRenderedPageBreak/>
        <w:tab/>
      </w:r>
      <w:r w:rsidRPr="00F20062">
        <w:rPr>
          <w:rFonts w:eastAsia="Calibri"/>
          <w:strike/>
          <w:color w:val="000000"/>
          <w:u w:color="000000"/>
        </w:rPr>
        <w:t>(B)</w:t>
      </w:r>
      <w:r w:rsidRPr="00F20062">
        <w:rPr>
          <w:rFonts w:eastAsia="Calibri"/>
          <w:color w:val="000000"/>
          <w:u w:color="000000"/>
        </w:rPr>
        <w:tab/>
      </w:r>
      <w:r w:rsidRPr="00F20062">
        <w:rPr>
          <w:rFonts w:eastAsia="Calibri"/>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rFonts w:eastAsia="Calibri"/>
          <w:color w:val="000000"/>
          <w:u w:val="single" w:color="000000"/>
        </w:rPr>
        <w:t>(B)(1)</w:t>
      </w:r>
      <w:r w:rsidRPr="00F20062">
        <w:rPr>
          <w:rFonts w:eastAsia="Calibri"/>
          <w:color w:val="000000"/>
          <w:u w:color="000000"/>
        </w:rPr>
        <w:tab/>
      </w:r>
      <w:r>
        <w:rPr>
          <w:rFonts w:eastAsia="Calibri"/>
          <w:color w:val="000000"/>
          <w:u w:val="single" w:color="000000"/>
        </w:rPr>
        <w:t>An</w:t>
      </w:r>
      <w:r w:rsidRPr="00F20062">
        <w:rPr>
          <w:rFonts w:eastAsia="Calibri"/>
          <w:color w:val="000000"/>
          <w:u w:val="single" w:color="000000"/>
        </w:rPr>
        <w:t xml:space="preserve"> arrest warrant </w:t>
      </w:r>
      <w:r>
        <w:rPr>
          <w:rFonts w:eastAsia="Calibri"/>
          <w:color w:val="000000"/>
          <w:u w:val="single" w:color="000000"/>
        </w:rPr>
        <w:t>may not</w:t>
      </w:r>
      <w:r w:rsidRPr="00F20062">
        <w:rPr>
          <w:rFonts w:eastAsia="Calibri"/>
          <w:color w:val="000000"/>
          <w:u w:val="single" w:color="000000"/>
        </w:rPr>
        <w:t xml:space="preserve"> be issued for the arrest of a person unless sought by a member of a law enforcement agency acting in their official capacity.</w:t>
      </w:r>
    </w:p>
    <w:p w:rsidR="00FF5A9B"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F20062">
        <w:rPr>
          <w:rFonts w:eastAsia="Calibri"/>
          <w:color w:val="000000"/>
          <w:u w:color="000000"/>
        </w:rPr>
        <w:tab/>
      </w:r>
      <w:r w:rsidRPr="00F20062">
        <w:rPr>
          <w:rFonts w:eastAsia="Calibri"/>
          <w:color w:val="000000"/>
          <w:u w:color="000000"/>
        </w:rPr>
        <w:tab/>
      </w:r>
      <w:r w:rsidRPr="00F20062">
        <w:rPr>
          <w:rFonts w:eastAsia="Calibri"/>
          <w:color w:val="000000"/>
          <w:u w:val="single" w:color="000000"/>
        </w:rPr>
        <w:t>(2)</w:t>
      </w:r>
      <w:r w:rsidRPr="00F20062">
        <w:rPr>
          <w:rFonts w:eastAsia="Calibri"/>
          <w:color w:val="000000"/>
          <w:u w:color="000000"/>
        </w:rPr>
        <w:tab/>
      </w:r>
      <w:r w:rsidRPr="00F20062">
        <w:rPr>
          <w:rFonts w:eastAsia="Calibri"/>
          <w:color w:val="000000"/>
          <w:u w:val="single" w:color="000000"/>
        </w:rPr>
        <w:t>If an arrest warrant is sought by someone other than a law enforcement officer, the court must issue a courtesy summons.  This provision does not apply to a business s</w:t>
      </w:r>
      <w:r>
        <w:rPr>
          <w:rFonts w:eastAsia="Calibri"/>
          <w:color w:val="000000"/>
          <w:u w:val="single" w:color="000000"/>
        </w:rPr>
        <w:t>eeking an arrest warrant for an</w:t>
      </w:r>
      <w:r w:rsidRPr="00F20062">
        <w:rPr>
          <w:rFonts w:eastAsia="Calibri"/>
          <w:color w:val="000000"/>
          <w:u w:val="single" w:color="000000"/>
        </w:rPr>
        <w:t xml:space="preserve"> offense against the business</w:t>
      </w:r>
      <w:r>
        <w:rPr>
          <w:rFonts w:eastAsia="Calibri"/>
          <w:color w:val="000000"/>
          <w:u w:val="single" w:color="000000"/>
        </w:rPr>
        <w:t>,</w:t>
      </w:r>
      <w:r w:rsidRPr="00F20062">
        <w:rPr>
          <w:rFonts w:eastAsia="Calibri"/>
          <w:color w:val="000000"/>
          <w:u w:val="single" w:color="000000"/>
        </w:rPr>
        <w:t xml:space="preserve"> a person seeking an arrest warrant for a fraudulent check, if the fraudulent check is presented to the magistrate at the time the warrant is sought.</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rPr>
        <w:tab/>
      </w:r>
      <w:r>
        <w:rPr>
          <w:rFonts w:eastAsia="Calibri"/>
          <w:color w:val="000000"/>
        </w:rPr>
        <w:tab/>
      </w:r>
      <w:r w:rsidRPr="00161212">
        <w:rPr>
          <w:rFonts w:eastAsia="Calibri"/>
          <w:color w:val="000000"/>
          <w:u w:val="single"/>
        </w:rPr>
        <w:t>(3)</w:t>
      </w:r>
      <w:r>
        <w:rPr>
          <w:rFonts w:eastAsia="Calibri"/>
          <w:color w:val="000000"/>
        </w:rPr>
        <w:tab/>
      </w:r>
      <w:r>
        <w:rPr>
          <w:rFonts w:eastAsia="Calibri"/>
          <w:color w:val="000000"/>
          <w:u w:val="single" w:color="000000"/>
        </w:rPr>
        <w:t>If a defendant named in a courtesy summons fails to appear before the court pursuant to the summons, the court may issue an arrest warrant for the underlying offense based upon the original sworn statement of the affiant who sought the courtesy summons, provided the sworn statement establishes probable cause that the underlying offense was committed.</w:t>
      </w:r>
      <w:r w:rsidRPr="00E95B74">
        <w:rPr>
          <w:rFonts w:eastAsia="Calibri"/>
          <w:color w:val="000000"/>
          <w:u w:color="000000"/>
        </w:rPr>
        <w:t>”</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062">
        <w:t>SECTION</w:t>
      </w:r>
      <w:r w:rsidRPr="00F20062">
        <w:tab/>
        <w:t>2.</w:t>
      </w:r>
      <w:r w:rsidRPr="00F20062">
        <w:tab/>
        <w:t>This act takes effect upon approval by the Governor.</w:t>
      </w:r>
    </w:p>
    <w:p w:rsidR="00AA7366" w:rsidRDefault="00FF5A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366" w:rsidRDefault="00AA7366" w:rsidP="00AA7366">
      <w:pPr>
        <w:suppressAutoHyphens/>
      </w:pPr>
    </w:p>
    <w:sectPr w:rsidR="00AA7366" w:rsidSect="00AA73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41A" w:rsidRDefault="00BA541A" w:rsidP="009F0C77">
      <w:r>
        <w:separator/>
      </w:r>
    </w:p>
  </w:endnote>
  <w:endnote w:type="continuationSeparator" w:id="0">
    <w:p w:rsidR="00BA541A" w:rsidRDefault="00BA5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4BDF76-777C-49F2-ADC3-0C418AF4510D}"/>
    <w:embedBold r:id="rId2" w:fontKey="{EBBA78F1-AC79-4239-B1F1-76416F91B2FB}"/>
  </w:font>
  <w:font w:name="Calibri">
    <w:panose1 w:val="020F0502020204030204"/>
    <w:charset w:val="00"/>
    <w:family w:val="swiss"/>
    <w:pitch w:val="variable"/>
    <w:sig w:usb0="A00002EF" w:usb1="4000207B" w:usb2="00000000" w:usb3="00000000" w:csb0="0000009F" w:csb1="00000000"/>
    <w:embedRegular r:id="rId3" w:fontKey="{4AC12FAF-823F-46D6-9F02-11B7245F8BBC}"/>
  </w:font>
  <w:font w:name="Tahoma">
    <w:panose1 w:val="020B0604030504040204"/>
    <w:charset w:val="00"/>
    <w:family w:val="swiss"/>
    <w:pitch w:val="variable"/>
    <w:sig w:usb0="61002A87" w:usb1="80000000" w:usb2="00000008" w:usb3="00000000" w:csb0="000101FF" w:csb1="00000000"/>
    <w:embedRegular r:id="rId4" w:fontKey="{FA2F0322-6E1F-49E4-8B1D-1494B4C30251}"/>
  </w:font>
  <w:font w:name="Cambria">
    <w:panose1 w:val="02040503050406030204"/>
    <w:charset w:val="00"/>
    <w:family w:val="roman"/>
    <w:pitch w:val="variable"/>
    <w:sig w:usb0="A00002EF" w:usb1="4000004B" w:usb2="00000000" w:usb3="00000000" w:csb0="0000009F" w:csb1="00000000"/>
    <w:embedRegular r:id="rId5" w:fontKey="{B14F012F-27F7-41E0-82FB-BA9D22946C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928" w:rsidRPr="00AA7366" w:rsidRDefault="00AA7366" w:rsidP="00AA7366">
    <w:pPr>
      <w:pStyle w:val="Footer"/>
      <w:tabs>
        <w:tab w:val="clear" w:pos="4680"/>
        <w:tab w:val="clear" w:pos="9360"/>
        <w:tab w:val="center" w:pos="2995"/>
      </w:tabs>
      <w:spacing w:before="120"/>
    </w:pPr>
    <w:r>
      <w:t>[3606]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41A" w:rsidRDefault="00BA541A" w:rsidP="009F0C77">
      <w:r>
        <w:separator/>
      </w:r>
    </w:p>
  </w:footnote>
  <w:footnote w:type="continuationSeparator" w:id="0">
    <w:p w:rsidR="00BA541A" w:rsidRDefault="00BA5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3AHB11"/>
    <w:docVar w:name="CoverBillType" w:val="b"/>
    <w:docVar w:name="docpath" w:val="L:\Council\bills\MS\7113AHB11.DOCX"/>
    <w:docVar w:name="dvBillNumber" w:val="3606"/>
    <w:docVar w:name="dvBillNumberPrefix" w:val="H. "/>
    <w:docVar w:name="dvOriginalBody" w:val="House"/>
    <w:docVar w:name="dvSteno" w:val="MS"/>
    <w:docVar w:name="NameofBody" w:val="h"/>
    <w:docVar w:name="vgroup2" w:val="Council"/>
  </w:docVars>
  <w:rsids>
    <w:rsidRoot w:val="003A4B3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4B30"/>
    <w:rsid w:val="003D01E8"/>
    <w:rsid w:val="003D0FF8"/>
    <w:rsid w:val="003E5288"/>
    <w:rsid w:val="003F6D79"/>
    <w:rsid w:val="0041760A"/>
    <w:rsid w:val="00417C01"/>
    <w:rsid w:val="004809EE"/>
    <w:rsid w:val="004E7D54"/>
    <w:rsid w:val="005273C6"/>
    <w:rsid w:val="00530A69"/>
    <w:rsid w:val="00545593"/>
    <w:rsid w:val="00577C6C"/>
    <w:rsid w:val="005C2FE2"/>
    <w:rsid w:val="005D3396"/>
    <w:rsid w:val="005E2BC9"/>
    <w:rsid w:val="00605102"/>
    <w:rsid w:val="006215AA"/>
    <w:rsid w:val="006913C9"/>
    <w:rsid w:val="0069470D"/>
    <w:rsid w:val="006A5492"/>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A7366"/>
    <w:rsid w:val="00AD4B17"/>
    <w:rsid w:val="00B412D4"/>
    <w:rsid w:val="00BA541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6ECE"/>
    <w:rsid w:val="00FB0D0D"/>
    <w:rsid w:val="00FB43B4"/>
    <w:rsid w:val="00FC4928"/>
    <w:rsid w:val="00FF5A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A9B"/>
    <w:rPr>
      <w:rFonts w:ascii="Tahoma" w:hAnsi="Tahoma" w:cs="Tahoma"/>
      <w:sz w:val="16"/>
      <w:szCs w:val="16"/>
    </w:rPr>
  </w:style>
  <w:style w:type="character" w:customStyle="1" w:styleId="BalloonTextChar">
    <w:name w:val="Balloon Text Char"/>
    <w:basedOn w:val="DefaultParagraphFont"/>
    <w:link w:val="BalloonText"/>
    <w:uiPriority w:val="99"/>
    <w:semiHidden/>
    <w:rsid w:val="00FF5A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7B9C0-C8B6-4F03-91B3-A79D0F3F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2102</Characters>
  <Application>Microsoft Office Word</Application>
  <DocSecurity>0</DocSecurity>
  <Lines>17</Lines>
  <Paragraphs>4</Paragraphs>
  <ScaleCrop>false</ScaleCrop>
  <Company>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2011-01-13T18:10:00Z</cp:lastPrinted>
  <dcterms:created xsi:type="dcterms:W3CDTF">2011-02-08T17:52:00Z</dcterms:created>
  <dcterms:modified xsi:type="dcterms:W3CDTF">2011-02-08T17:52:00Z</dcterms:modified>
</cp:coreProperties>
</file>