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B86" w:rsidRDefault="000B1B86" w:rsidP="001D7F4F">
      <w:pPr>
        <w:pStyle w:val="BillDots"/>
      </w:pPr>
      <w:r>
        <w:rPr>
          <w:strike/>
        </w:rPr>
        <w:t>Indicates Matter Stricken</w:t>
      </w:r>
    </w:p>
    <w:p w:rsidR="000B1B86" w:rsidRPr="000B1B86" w:rsidRDefault="000B1B86" w:rsidP="001D7F4F">
      <w:pPr>
        <w:pStyle w:val="BillDots"/>
      </w:pPr>
      <w:r>
        <w:rPr>
          <w:u w:val="single"/>
        </w:rPr>
        <w:t>Indicates New Matter</w:t>
      </w:r>
    </w:p>
    <w:p w:rsidR="000B1B86" w:rsidRDefault="000B1B86" w:rsidP="001D7F4F">
      <w:pPr>
        <w:pStyle w:val="BillDots"/>
      </w:pPr>
    </w:p>
    <w:p w:rsidR="000B1B86" w:rsidRDefault="000B1B86" w:rsidP="001D7F4F">
      <w:pPr>
        <w:pStyle w:val="BillDots"/>
      </w:pPr>
      <w:r>
        <w:t>COMMITTEE REPORT</w:t>
      </w:r>
    </w:p>
    <w:p w:rsidR="000B1B86" w:rsidRDefault="000B1B86" w:rsidP="001D7F4F">
      <w:pPr>
        <w:pStyle w:val="BillDots"/>
      </w:pPr>
      <w:r>
        <w:t>April 6, 2011</w:t>
      </w:r>
    </w:p>
    <w:p w:rsidR="000B1B86" w:rsidRDefault="000B1B86" w:rsidP="001D7F4F">
      <w:pPr>
        <w:pStyle w:val="BillDots"/>
      </w:pPr>
    </w:p>
    <w:p w:rsidR="000B1B86" w:rsidRPr="000B1B86" w:rsidRDefault="000B1B86" w:rsidP="000B1B86">
      <w:pPr>
        <w:pStyle w:val="BillDots"/>
        <w:tabs>
          <w:tab w:val="clear" w:pos="216"/>
          <w:tab w:val="clear" w:pos="432"/>
          <w:tab w:val="clear" w:pos="648"/>
          <w:tab w:val="clear" w:pos="864"/>
          <w:tab w:val="clear" w:pos="1080"/>
          <w:tab w:val="clear" w:pos="1296"/>
          <w:tab w:val="clear" w:pos="5904"/>
          <w:tab w:val="right" w:pos="5933"/>
        </w:tabs>
      </w:pPr>
      <w:r>
        <w:tab/>
      </w:r>
      <w:r>
        <w:rPr>
          <w:b/>
          <w:sz w:val="36"/>
        </w:rPr>
        <w:t>H. 3606</w:t>
      </w:r>
    </w:p>
    <w:p w:rsidR="000B1B86" w:rsidRDefault="000B1B86" w:rsidP="001D7F4F">
      <w:pPr>
        <w:pStyle w:val="BillDots"/>
      </w:pPr>
    </w:p>
    <w:p w:rsidR="000B1B86" w:rsidRDefault="000B1B86" w:rsidP="000B1B86">
      <w:pPr>
        <w:pStyle w:val="BillDots"/>
        <w:jc w:val="center"/>
      </w:pPr>
      <w:r>
        <w:t xml:space="preserve">Introduced by </w:t>
      </w:r>
      <w:r w:rsidRPr="00E44DD7">
        <w:t>Rep. Harrison</w:t>
      </w:r>
    </w:p>
    <w:p w:rsidR="000B1B86" w:rsidRDefault="000B1B86" w:rsidP="001D7F4F">
      <w:pPr>
        <w:pStyle w:val="BillDots"/>
      </w:pPr>
    </w:p>
    <w:p w:rsidR="000B1B86" w:rsidRDefault="000B1B86" w:rsidP="001D7F4F">
      <w:pPr>
        <w:pStyle w:val="BillDots"/>
      </w:pPr>
      <w:r>
        <w:t>S. Printed 4/6/11--H.</w:t>
      </w:r>
    </w:p>
    <w:p w:rsidR="000B1B86" w:rsidRDefault="000B1B86" w:rsidP="001D7F4F">
      <w:pPr>
        <w:pStyle w:val="BillDots"/>
      </w:pPr>
      <w:r>
        <w:t>Read the first time February 8, 2011.</w:t>
      </w:r>
    </w:p>
    <w:p w:rsidR="000B1B86" w:rsidRPr="000B1B86" w:rsidRDefault="000B1B86" w:rsidP="000B1B86">
      <w:pPr>
        <w:pStyle w:val="BillDots"/>
        <w:jc w:val="center"/>
      </w:pPr>
      <w:r>
        <w:rPr>
          <w:u w:val="single"/>
        </w:rPr>
        <w:t>            </w:t>
      </w:r>
    </w:p>
    <w:p w:rsidR="000B1B86" w:rsidRDefault="000B1B86" w:rsidP="001D7F4F">
      <w:pPr>
        <w:pStyle w:val="BillDots"/>
      </w:pPr>
    </w:p>
    <w:p w:rsidR="000B1B86" w:rsidRPr="000B1B86" w:rsidRDefault="000B1B86" w:rsidP="000B1B86">
      <w:pPr>
        <w:pStyle w:val="BillDots"/>
        <w:jc w:val="center"/>
      </w:pPr>
      <w:r>
        <w:rPr>
          <w:b/>
        </w:rPr>
        <w:t>THE COMMITTEE ON JUDICIARY</w:t>
      </w:r>
    </w:p>
    <w:p w:rsidR="000B1B86" w:rsidRDefault="000B1B86" w:rsidP="001D7F4F">
      <w:pPr>
        <w:pStyle w:val="BillDots"/>
      </w:pPr>
      <w:r>
        <w:tab/>
        <w:t xml:space="preserve">To whom was referred a Bill (H. 3606) </w:t>
      </w:r>
      <w:r w:rsidRPr="000B1B86">
        <w:rPr>
          <w:rFonts w:eastAsia="Calibri"/>
          <w:color w:val="000000"/>
          <w:u w:color="000000"/>
        </w:rPr>
        <w:t>to amend Section 22</w:t>
      </w:r>
      <w:r w:rsidRPr="000B1B86">
        <w:rPr>
          <w:color w:val="000000" w:themeColor="text1"/>
          <w:u w:color="000000" w:themeColor="text1"/>
        </w:rPr>
        <w:noBreakHyphen/>
      </w:r>
      <w:r w:rsidRPr="000B1B86">
        <w:rPr>
          <w:rFonts w:eastAsia="Calibri"/>
          <w:color w:val="000000"/>
          <w:u w:color="000000"/>
        </w:rPr>
        <w:t>5</w:t>
      </w:r>
      <w:r w:rsidRPr="000B1B86">
        <w:rPr>
          <w:color w:val="000000" w:themeColor="text1"/>
          <w:u w:color="000000" w:themeColor="text1"/>
        </w:rPr>
        <w:noBreakHyphen/>
      </w:r>
      <w:r w:rsidRPr="000B1B86">
        <w:rPr>
          <w:rFonts w:eastAsia="Calibri"/>
          <w:color w:val="000000"/>
          <w:u w:color="000000"/>
        </w:rPr>
        <w:t>110, as amended, Code of Laws of South Carolina, 1976, related to magistrates</w:t>
      </w:r>
      <w:r w:rsidRPr="000B1B86">
        <w:rPr>
          <w:color w:val="000000" w:themeColor="text1"/>
          <w:u w:color="000000" w:themeColor="text1"/>
        </w:rPr>
        <w:t>’</w:t>
      </w:r>
      <w:r w:rsidRPr="000B1B86">
        <w:rPr>
          <w:rFonts w:eastAsia="Calibri"/>
          <w:color w:val="000000"/>
          <w:u w:color="000000"/>
        </w:rPr>
        <w:t xml:space="preserve"> powers and duties regarding the issuance of arrest warrants</w:t>
      </w:r>
      <w:r>
        <w:t>, etc., respectfully</w:t>
      </w:r>
    </w:p>
    <w:p w:rsidR="000B1B86" w:rsidRPr="000B1B86" w:rsidRDefault="000B1B86" w:rsidP="000B1B86">
      <w:pPr>
        <w:pStyle w:val="BillDots"/>
        <w:jc w:val="center"/>
      </w:pPr>
      <w:r>
        <w:rPr>
          <w:b/>
        </w:rPr>
        <w:t>REPORT:</w:t>
      </w:r>
    </w:p>
    <w:p w:rsidR="000B1B86" w:rsidRDefault="000B1B86" w:rsidP="001D7F4F">
      <w:pPr>
        <w:pStyle w:val="BillDots"/>
      </w:pPr>
      <w:r>
        <w:tab/>
        <w:t>That they have duly and carefully considered the same and recommend that the same do pass with amendment:</w:t>
      </w:r>
    </w:p>
    <w:p w:rsidR="000B1B86" w:rsidRDefault="000B1B86" w:rsidP="001D7F4F">
      <w:pPr>
        <w:pStyle w:val="BillDots"/>
      </w:pP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3091">
        <w:t>Amend the bill, as and if amended, by deleting Section 22</w:t>
      </w:r>
      <w:r w:rsidRPr="00943091">
        <w:noBreakHyphen/>
        <w:t>5</w:t>
      </w:r>
      <w:r w:rsidRPr="00943091">
        <w:noBreakHyphen/>
        <w:t>110(B), as contained in SECTION 1, page 2, lines 1</w:t>
      </w:r>
      <w:r w:rsidRPr="00943091">
        <w:noBreakHyphen/>
        <w:t>19, and inserting:</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943091">
        <w:t xml:space="preserve">/ </w:t>
      </w:r>
      <w:r w:rsidRPr="00943091">
        <w:rPr>
          <w:rFonts w:eastAsia="Calibri"/>
          <w:strike/>
          <w:u w:color="000000"/>
        </w:rPr>
        <w:t>(B)</w:t>
      </w:r>
      <w:r w:rsidRPr="00943091">
        <w:rPr>
          <w:rFonts w:eastAsia="Calibri"/>
          <w:u w:color="000000"/>
        </w:rPr>
        <w:tab/>
      </w:r>
      <w:r w:rsidRPr="00943091">
        <w:rPr>
          <w:rFonts w:eastAsia="Calibri"/>
          <w:strike/>
          <w:u w:color="000000"/>
        </w:rPr>
        <w:t>Notwithstanding another provision of law, a person charged with any misdemeanor offense requiring a warrant signed by nonlaw enforcement personnel to ensure the arrest of a person must be given a courtesy summons.</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val="single" w:color="000000"/>
        </w:rPr>
        <w:t>(B)(1)</w:t>
      </w:r>
      <w:r w:rsidRPr="00943091">
        <w:rPr>
          <w:rFonts w:eastAsia="Calibri"/>
          <w:u w:color="000000"/>
        </w:rPr>
        <w:tab/>
      </w:r>
      <w:r w:rsidRPr="00943091">
        <w:rPr>
          <w:rFonts w:eastAsia="Calibri"/>
          <w:u w:val="single" w:color="000000"/>
        </w:rPr>
        <w:t>An arrest warrant may not be issued for the arrest of a person unless sought by a member of a law enforcement agency acting in their official capacity.</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color="000000"/>
        </w:rPr>
        <w:tab/>
      </w:r>
      <w:r w:rsidRPr="00943091">
        <w:rPr>
          <w:rFonts w:eastAsia="Calibri"/>
          <w:u w:val="single" w:color="000000"/>
        </w:rPr>
        <w:t>(2)</w:t>
      </w:r>
      <w:r w:rsidRPr="00943091">
        <w:rPr>
          <w:rFonts w:eastAsia="Calibri"/>
          <w:u w:color="000000"/>
        </w:rPr>
        <w:tab/>
      </w:r>
      <w:r w:rsidRPr="00943091">
        <w:rPr>
          <w:rFonts w:eastAsia="Calibri"/>
          <w:u w:val="single" w:color="000000"/>
        </w:rPr>
        <w:t>If an arrest warrant is sought by someone other than a law enforcement officer, the court must issue a courtesy summons.</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3091">
        <w:rPr>
          <w:rFonts w:eastAsia="Calibri"/>
          <w:u w:color="000000"/>
        </w:rPr>
        <w:tab/>
      </w:r>
      <w:r w:rsidRPr="00943091">
        <w:rPr>
          <w:rFonts w:eastAsia="Calibri"/>
          <w:u w:color="000000"/>
        </w:rPr>
        <w:tab/>
      </w:r>
      <w:r w:rsidRPr="00943091">
        <w:rPr>
          <w:rFonts w:eastAsia="Calibri"/>
          <w:u w:val="single" w:color="000000"/>
        </w:rPr>
        <w:t>(3)</w:t>
      </w:r>
      <w:r w:rsidRPr="00943091">
        <w:rPr>
          <w:rFonts w:eastAsia="Calibri"/>
          <w:u w:color="000000"/>
        </w:rPr>
        <w:tab/>
      </w:r>
      <w:r w:rsidRPr="00943091">
        <w:rPr>
          <w:rFonts w:eastAsia="Calibri"/>
          <w:u w:val="single" w:color="000000"/>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943091">
        <w:t>” /</w:t>
      </w:r>
    </w:p>
    <w:p w:rsidR="000B1B86" w:rsidRPr="00943091" w:rsidRDefault="000B1B86" w:rsidP="000B1B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943091">
        <w:rPr>
          <w:szCs w:val="36"/>
        </w:rPr>
        <w:t>Renumber sections to conform.</w:t>
      </w:r>
    </w:p>
    <w:p w:rsidR="000B1B86" w:rsidRDefault="000B1B86" w:rsidP="000B1B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43091">
        <w:rPr>
          <w:szCs w:val="36"/>
        </w:rPr>
        <w:t>Amend title to conform.</w:t>
      </w:r>
    </w:p>
    <w:p w:rsidR="000B1B86" w:rsidRPr="00943091" w:rsidRDefault="000B1B86" w:rsidP="000B1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0B1B86" w:rsidRDefault="000B1B86" w:rsidP="001D7F4F">
      <w:pPr>
        <w:pStyle w:val="BillDots"/>
      </w:pPr>
      <w:r>
        <w:t>JAMES H. HARRISON for Committee.</w:t>
      </w:r>
    </w:p>
    <w:p w:rsidR="000B1B86" w:rsidRPr="000B1B86" w:rsidRDefault="000B1B86" w:rsidP="000B1B86">
      <w:pPr>
        <w:pStyle w:val="BillDots"/>
        <w:jc w:val="center"/>
      </w:pPr>
      <w:r>
        <w:rPr>
          <w:u w:val="single"/>
        </w:rPr>
        <w:t>            </w:t>
      </w:r>
    </w:p>
    <w:p w:rsidR="000B1B86" w:rsidRDefault="000B1B86" w:rsidP="001D7F4F">
      <w:pPr>
        <w:pStyle w:val="BillDots"/>
        <w:sectPr w:rsidR="000B1B86" w:rsidSect="000B1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AS AMENDED, CODE OF LAWS OF SOUTH CAROLINA, 1976, RELATED TO MAGISTRATES</w:t>
      </w:r>
      <w:r w:rsidRPr="00FF5A9B">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AN ARREST WARRANT MAY NOT BE ISSUED FOR THE ARREST OF A PERSON UNLESS SOUGHT BY A MEMBER OF A LAW ENFORCEMENT AGENCY ACTING IN THEIR OFFICIAL CAPACITY, TO PROVIDE THAT IF AN ARREST WARRANT IS SOUGHT BY SOMEONE OTHER THAN A LAW ENFORCEMENT OFFICER, THE COURT MUST ISSUE A COURTESY SUMMONS, AND TO PROVIDE FOR EXCEPTIONS UNDER CERTAIN CIRCUMSTANCES.</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9B" w:rsidRPr="00F20062" w:rsidRDefault="00BA541A"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FF5A9B" w:rsidRPr="00F20062">
        <w:tab/>
      </w:r>
      <w:r w:rsidR="00FF5A9B" w:rsidRPr="00F20062">
        <w:rPr>
          <w:rFonts w:eastAsia="Calibri"/>
          <w:color w:val="000000"/>
          <w:u w:color="000000"/>
        </w:rPr>
        <w:t>Section 22</w:t>
      </w:r>
      <w:r w:rsidR="00FF5A9B">
        <w:rPr>
          <w:color w:val="000000" w:themeColor="text1"/>
          <w:u w:color="000000" w:themeColor="text1"/>
        </w:rPr>
        <w:noBreakHyphen/>
      </w:r>
      <w:r w:rsidR="00FF5A9B" w:rsidRPr="00F20062">
        <w:rPr>
          <w:rFonts w:eastAsia="Calibri"/>
          <w:color w:val="000000"/>
          <w:u w:color="000000"/>
        </w:rPr>
        <w:t>5</w:t>
      </w:r>
      <w:r w:rsidR="00FF5A9B">
        <w:rPr>
          <w:color w:val="000000" w:themeColor="text1"/>
          <w:u w:color="000000" w:themeColor="text1"/>
        </w:rPr>
        <w:noBreakHyphen/>
      </w:r>
      <w:r w:rsidR="00FF5A9B" w:rsidRPr="00F20062">
        <w:rPr>
          <w:rFonts w:eastAsia="Calibri"/>
          <w:color w:val="000000"/>
          <w:u w:color="000000"/>
        </w:rPr>
        <w:t>110 of the 1976 Code</w:t>
      </w:r>
      <w:r w:rsidR="00FF5A9B">
        <w:rPr>
          <w:rFonts w:eastAsia="Calibri"/>
          <w:color w:val="000000"/>
          <w:u w:color="000000"/>
        </w:rPr>
        <w:t xml:space="preserve">, as last amended by Act 346 of 2008, </w:t>
      </w:r>
      <w:r w:rsidR="00FF5A9B" w:rsidRPr="00F20062">
        <w:rPr>
          <w:rFonts w:eastAsia="Calibri"/>
          <w:color w:val="000000"/>
          <w:u w:color="000000"/>
        </w:rPr>
        <w:t>is</w:t>
      </w:r>
      <w:r w:rsidR="00FF5A9B">
        <w:rPr>
          <w:rFonts w:eastAsia="Calibri"/>
          <w:color w:val="000000"/>
          <w:u w:color="000000"/>
        </w:rPr>
        <w:t xml:space="preserve"> further</w:t>
      </w:r>
      <w:r w:rsidR="00FF5A9B" w:rsidRPr="00F20062">
        <w:rPr>
          <w:rFonts w:eastAsia="Calibri"/>
          <w:color w:val="000000"/>
          <w:u w:color="000000"/>
        </w:rPr>
        <w:t xml:space="preserve"> amended to read:</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r>
      <w:r>
        <w:rPr>
          <w:rFonts w:eastAsia="Calibri"/>
          <w:color w:val="000000"/>
          <w:u w:color="000000"/>
        </w:rPr>
        <w:tab/>
      </w:r>
      <w:r w:rsidRPr="00F20062">
        <w:rPr>
          <w:rFonts w:eastAsia="Calibri"/>
          <w:color w:val="000000"/>
          <w:u w:color="000000"/>
        </w:rPr>
        <w:t>(A)</w:t>
      </w:r>
      <w:r w:rsidRPr="00F20062">
        <w:rPr>
          <w:rFonts w:eastAsia="Calibri"/>
          <w:color w:val="000000"/>
          <w:u w:color="000000"/>
        </w:rPr>
        <w:tab/>
        <w:t>Magistrates shall</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Pr>
          <w:rFonts w:eastAsia="Calibri"/>
          <w:color w:val="000000"/>
          <w:u w:color="000000"/>
        </w:rPr>
        <w:t xml:space="preserve"> </w:t>
      </w:r>
      <w:r w:rsidRPr="00F20062">
        <w:rPr>
          <w:rFonts w:eastAsia="Calibri"/>
          <w:color w:val="000000"/>
          <w:u w:val="single"/>
        </w:rPr>
        <w:t>the county;</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rFonts w:eastAsia="Calibri"/>
          <w:color w:val="000000"/>
          <w:u w:val="single" w:color="000000"/>
        </w:rPr>
        <w:t>(B)(1)</w:t>
      </w:r>
      <w:r w:rsidRPr="00F20062">
        <w:rPr>
          <w:rFonts w:eastAsia="Calibri"/>
          <w:color w:val="000000"/>
          <w:u w:color="000000"/>
        </w:rPr>
        <w:tab/>
      </w:r>
      <w:r>
        <w:rPr>
          <w:rFonts w:eastAsia="Calibri"/>
          <w:color w:val="000000"/>
          <w:u w:val="single" w:color="000000"/>
        </w:rPr>
        <w:t>An</w:t>
      </w:r>
      <w:r w:rsidRPr="00F20062">
        <w:rPr>
          <w:rFonts w:eastAsia="Calibri"/>
          <w:color w:val="000000"/>
          <w:u w:val="single" w:color="000000"/>
        </w:rPr>
        <w:t xml:space="preserve"> arrest warrant </w:t>
      </w:r>
      <w:r>
        <w:rPr>
          <w:rFonts w:eastAsia="Calibri"/>
          <w:color w:val="000000"/>
          <w:u w:val="single" w:color="000000"/>
        </w:rPr>
        <w:t>may not</w:t>
      </w:r>
      <w:r w:rsidRPr="00F20062">
        <w:rPr>
          <w:rFonts w:eastAsia="Calibri"/>
          <w:color w:val="000000"/>
          <w:u w:val="single" w:color="000000"/>
        </w:rPr>
        <w:t xml:space="preserve"> be issued for the arrest of a person unless sought by a member of a law enforcement agency acting in their official capacity.</w:t>
      </w:r>
    </w:p>
    <w:p w:rsidR="00FF5A9B"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F20062">
        <w:rPr>
          <w:rFonts w:eastAsia="Calibri"/>
          <w:color w:val="000000"/>
          <w:u w:color="000000"/>
        </w:rPr>
        <w:tab/>
      </w:r>
      <w:r w:rsidRPr="00F20062">
        <w:rPr>
          <w:rFonts w:eastAsia="Calibri"/>
          <w:color w:val="000000"/>
          <w:u w:color="000000"/>
        </w:rPr>
        <w:tab/>
      </w:r>
      <w:r w:rsidRPr="00F20062">
        <w:rPr>
          <w:rFonts w:eastAsia="Calibri"/>
          <w:color w:val="000000"/>
          <w:u w:val="single" w:color="000000"/>
        </w:rPr>
        <w:t>(2)</w:t>
      </w:r>
      <w:r w:rsidRPr="00F20062">
        <w:rPr>
          <w:rFonts w:eastAsia="Calibri"/>
          <w:color w:val="000000"/>
          <w:u w:color="000000"/>
        </w:rPr>
        <w:tab/>
      </w:r>
      <w:r w:rsidRPr="00F20062">
        <w:rPr>
          <w:rFonts w:eastAsia="Calibri"/>
          <w:color w:val="000000"/>
          <w:u w:val="single" w:color="000000"/>
        </w:rPr>
        <w:t>If an arrest warrant is sought by someone other than a law enforcement officer, the court must issue a courtesy summons.  This provision does not apply to a business s</w:t>
      </w:r>
      <w:r>
        <w:rPr>
          <w:rFonts w:eastAsia="Calibri"/>
          <w:color w:val="000000"/>
          <w:u w:val="single" w:color="000000"/>
        </w:rPr>
        <w:t>eeking an arrest warrant for an</w:t>
      </w:r>
      <w:r w:rsidRPr="00F20062">
        <w:rPr>
          <w:rFonts w:eastAsia="Calibri"/>
          <w:color w:val="000000"/>
          <w:u w:val="single" w:color="000000"/>
        </w:rPr>
        <w:t xml:space="preserve"> offense against the business</w:t>
      </w:r>
      <w:r>
        <w:rPr>
          <w:rFonts w:eastAsia="Calibri"/>
          <w:color w:val="000000"/>
          <w:u w:val="single" w:color="000000"/>
        </w:rPr>
        <w:t>,</w:t>
      </w:r>
      <w:r w:rsidRPr="00F20062">
        <w:rPr>
          <w:rFonts w:eastAsia="Calibri"/>
          <w:color w:val="000000"/>
          <w:u w:val="single" w:color="000000"/>
        </w:rPr>
        <w:t xml:space="preserve"> a person seeking an arrest warrant for a fraudulent check, if the fraudulent check is presented to the magistrate at the time the warrant is sought.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rPr>
        <w:tab/>
      </w:r>
      <w:r>
        <w:rPr>
          <w:rFonts w:eastAsia="Calibri"/>
          <w:color w:val="000000"/>
        </w:rPr>
        <w:tab/>
      </w:r>
      <w:r w:rsidRPr="00161212">
        <w:rPr>
          <w:rFonts w:eastAsia="Calibri"/>
          <w:color w:val="000000"/>
          <w:u w:val="single"/>
        </w:rPr>
        <w:t>(3)</w:t>
      </w:r>
      <w:r>
        <w:rPr>
          <w:rFonts w:eastAsia="Calibri"/>
          <w:color w:val="000000"/>
        </w:rPr>
        <w:tab/>
      </w:r>
      <w:r>
        <w:rPr>
          <w:rFonts w:eastAsia="Calibri"/>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olor w:val="000000"/>
          <w:u w:color="000000"/>
        </w:rPr>
        <w: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062">
        <w:t>SECTION</w:t>
      </w:r>
      <w:r w:rsidRPr="00F20062">
        <w:tab/>
        <w:t>2.</w:t>
      </w:r>
      <w:r w:rsidRPr="00F20062">
        <w:tab/>
        <w:t>This act takes effect upon approval by the Governor.</w:t>
      </w:r>
    </w:p>
    <w:p w:rsidR="00AA7366" w:rsidRDefault="00FF5A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366" w:rsidRDefault="00AA7366" w:rsidP="00695E6C">
      <w:pPr>
        <w:suppressAutoHyphens/>
      </w:pPr>
    </w:p>
    <w:sectPr w:rsidR="00AA7366" w:rsidSect="000B1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41A" w:rsidRDefault="00BA541A" w:rsidP="009F0C77">
      <w:r>
        <w:separator/>
      </w:r>
    </w:p>
  </w:endnote>
  <w:endnote w:type="continuationSeparator" w:id="0">
    <w:p w:rsidR="00BA541A" w:rsidRDefault="00BA5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78F43-9538-4318-8CFE-1A3D236D18AC}"/>
    <w:embedBold r:id="rId2" w:fontKey="{B05CB792-0CE9-41F4-B6AF-2659F6790648}"/>
  </w:font>
  <w:font w:name="Calibri">
    <w:panose1 w:val="020F0502020204030204"/>
    <w:charset w:val="00"/>
    <w:family w:val="swiss"/>
    <w:pitch w:val="variable"/>
    <w:sig w:usb0="A00002EF" w:usb1="4000207B" w:usb2="00000000" w:usb3="00000000" w:csb0="0000009F" w:csb1="00000000"/>
    <w:embedRegular r:id="rId3" w:fontKey="{E17137E1-CB0B-4413-9840-8913C45E598B}"/>
  </w:font>
  <w:font w:name="Tahoma">
    <w:panose1 w:val="020B0604030504040204"/>
    <w:charset w:val="00"/>
    <w:family w:val="swiss"/>
    <w:pitch w:val="variable"/>
    <w:sig w:usb0="61002A87" w:usb1="80000000" w:usb2="00000008" w:usb3="00000000" w:csb0="000101FF" w:csb1="00000000"/>
    <w:embedRegular r:id="rId4" w:fontKey="{5FA35981-47AC-436A-AF4A-A7E00B5D6B15}"/>
  </w:font>
  <w:font w:name="Cambria">
    <w:panose1 w:val="02040503050406030204"/>
    <w:charset w:val="00"/>
    <w:family w:val="roman"/>
    <w:pitch w:val="variable"/>
    <w:sig w:usb0="A00002EF" w:usb1="4000004B" w:usb2="00000000" w:usb3="00000000" w:csb0="0000009F" w:csb1="00000000"/>
    <w:embedRegular r:id="rId5" w:fontKey="{592BA1F4-E502-4765-8EAE-859F8CC8AF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28" w:rsidRPr="00AA7366" w:rsidRDefault="00AA7366" w:rsidP="00AA7366">
    <w:pPr>
      <w:pStyle w:val="Footer"/>
      <w:tabs>
        <w:tab w:val="clear" w:pos="4680"/>
        <w:tab w:val="clear" w:pos="9360"/>
        <w:tab w:val="center" w:pos="2995"/>
      </w:tabs>
      <w:spacing w:before="120"/>
    </w:pPr>
    <w:r>
      <w:t>[3606</w:t>
    </w:r>
    <w:r w:rsidR="000B1B86">
      <w:t>-</w:t>
    </w:r>
    <w:fldSimple w:instr=" PAGE  \* MERGEFORMAT ">
      <w:r w:rsidR="00695E6C">
        <w:rPr>
          <w:noProof/>
        </w:rPr>
        <w:t>2</w:t>
      </w:r>
    </w:fldSimple>
    <w:r w:rsidR="000B1B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86" w:rsidRPr="00AA7366" w:rsidRDefault="000B1B86" w:rsidP="00AA7366">
    <w:pPr>
      <w:pStyle w:val="Footer"/>
      <w:tabs>
        <w:tab w:val="clear" w:pos="4680"/>
        <w:tab w:val="clear" w:pos="9360"/>
        <w:tab w:val="center" w:pos="2995"/>
      </w:tabs>
      <w:spacing w:before="120"/>
    </w:pPr>
    <w:r>
      <w:t>[3606]</w:t>
    </w:r>
    <w:r>
      <w:tab/>
    </w:r>
    <w:fldSimple w:instr=" PAGE  \* MERGEFORMAT ">
      <w:r w:rsidR="00695E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41A" w:rsidRDefault="00BA541A" w:rsidP="009F0C77">
      <w:r>
        <w:separator/>
      </w:r>
    </w:p>
  </w:footnote>
  <w:footnote w:type="continuationSeparator" w:id="0">
    <w:p w:rsidR="00BA541A" w:rsidRDefault="00BA5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3AHB11"/>
    <w:docVar w:name="CoverBillType" w:val="b"/>
    <w:docVar w:name="docpath" w:val="L:\Council\bills\MS\7113AHB11.DOCX"/>
    <w:docVar w:name="dvBillNumber" w:val="3606"/>
    <w:docVar w:name="dvBillNumberPrefix" w:val="H. "/>
    <w:docVar w:name="dvOriginalBody" w:val="House"/>
    <w:docVar w:name="dvSteno" w:val="MS"/>
    <w:docVar w:name="NameofBody" w:val="h"/>
    <w:docVar w:name="vgroup2" w:val="Council"/>
  </w:docVars>
  <w:rsids>
    <w:rsidRoot w:val="003A4B30"/>
    <w:rsid w:val="00011869"/>
    <w:rsid w:val="000A759D"/>
    <w:rsid w:val="000B1B86"/>
    <w:rsid w:val="000E1785"/>
    <w:rsid w:val="000F40FA"/>
    <w:rsid w:val="0010776B"/>
    <w:rsid w:val="00133E66"/>
    <w:rsid w:val="001435A3"/>
    <w:rsid w:val="001D08F2"/>
    <w:rsid w:val="001D525B"/>
    <w:rsid w:val="001D7F4F"/>
    <w:rsid w:val="002321B6"/>
    <w:rsid w:val="00250967"/>
    <w:rsid w:val="002543C8"/>
    <w:rsid w:val="00284AAE"/>
    <w:rsid w:val="002942D3"/>
    <w:rsid w:val="002E5912"/>
    <w:rsid w:val="00325348"/>
    <w:rsid w:val="0032732C"/>
    <w:rsid w:val="00336AD0"/>
    <w:rsid w:val="0037079A"/>
    <w:rsid w:val="003A4B30"/>
    <w:rsid w:val="003D01E8"/>
    <w:rsid w:val="003D0FF8"/>
    <w:rsid w:val="003E5288"/>
    <w:rsid w:val="003F6D79"/>
    <w:rsid w:val="0041760A"/>
    <w:rsid w:val="00417C01"/>
    <w:rsid w:val="004809EE"/>
    <w:rsid w:val="004E7D54"/>
    <w:rsid w:val="005273C6"/>
    <w:rsid w:val="00530A69"/>
    <w:rsid w:val="00545593"/>
    <w:rsid w:val="00577C6C"/>
    <w:rsid w:val="005C2FE2"/>
    <w:rsid w:val="005D3396"/>
    <w:rsid w:val="005E2BC9"/>
    <w:rsid w:val="00605102"/>
    <w:rsid w:val="006215AA"/>
    <w:rsid w:val="006913C9"/>
    <w:rsid w:val="0069470D"/>
    <w:rsid w:val="00695E6C"/>
    <w:rsid w:val="006A5492"/>
    <w:rsid w:val="00734F00"/>
    <w:rsid w:val="007A70AE"/>
    <w:rsid w:val="008362E8"/>
    <w:rsid w:val="0086716F"/>
    <w:rsid w:val="008A1768"/>
    <w:rsid w:val="008F4429"/>
    <w:rsid w:val="0094021A"/>
    <w:rsid w:val="009C6A0B"/>
    <w:rsid w:val="009F0C77"/>
    <w:rsid w:val="009F4DD1"/>
    <w:rsid w:val="00A41684"/>
    <w:rsid w:val="00A64E80"/>
    <w:rsid w:val="00A72BCD"/>
    <w:rsid w:val="00A741D9"/>
    <w:rsid w:val="00A833AB"/>
    <w:rsid w:val="00A9741D"/>
    <w:rsid w:val="00AA7366"/>
    <w:rsid w:val="00AD4B17"/>
    <w:rsid w:val="00B412D4"/>
    <w:rsid w:val="00BA541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6ECE"/>
    <w:rsid w:val="00FB0D0D"/>
    <w:rsid w:val="00FB43B4"/>
    <w:rsid w:val="00FC4928"/>
    <w:rsid w:val="00FF5A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A9B"/>
    <w:rPr>
      <w:rFonts w:ascii="Tahoma" w:hAnsi="Tahoma" w:cs="Tahoma"/>
      <w:sz w:val="16"/>
      <w:szCs w:val="16"/>
    </w:rPr>
  </w:style>
  <w:style w:type="character" w:customStyle="1" w:styleId="BalloonTextChar">
    <w:name w:val="Balloon Text Char"/>
    <w:basedOn w:val="DefaultParagraphFont"/>
    <w:link w:val="BalloonText"/>
    <w:uiPriority w:val="99"/>
    <w:semiHidden/>
    <w:rsid w:val="00FF5A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671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26935-30EA-42BB-98E1-BD70F3DE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3446</Characters>
  <Application>Microsoft Office Word</Application>
  <DocSecurity>0</DocSecurity>
  <Lines>114</Lines>
  <Paragraphs>42</Paragraphs>
  <ScaleCrop>false</ScaleCrop>
  <Company> </Company>
  <LinksUpToDate>false</LinksUpToDate>
  <CharactersWithSpaces>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2011-01-13T18:10:00Z</cp:lastPrinted>
  <dcterms:created xsi:type="dcterms:W3CDTF">2011-04-06T20:46:00Z</dcterms:created>
  <dcterms:modified xsi:type="dcterms:W3CDTF">2011-04-06T20:46:00Z</dcterms:modified>
</cp:coreProperties>
</file>