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6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 xml:space="preserve">645, </w:t>
      </w:r>
      <w:r w:rsidR="00B1093F">
        <w:t xml:space="preserve">AS AMENDED, </w:t>
      </w:r>
      <w:r>
        <w:t>CODE OF LAWS OF SOUTH CAROLINA, 1976, RELATING TO THE ISSUANCE OF PAROLE AND PROVISIONAL PAROLE ORDERS, AND FUTURE PAROLE HEARINGS FOR PERSONS WHO HAVE BEEN DENIED PAROLE, SO AS TO INCREASE THE NUMBER OF YEARS A PERSON MUST WAIT TO HAVE A PAROLE HEARING AFTER RECEIVING A NEGATIVE DETERMINATION OF PAROLE FOR A VIOLENT CRIME.</w:t>
      </w:r>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05" w:rsidRDefault="00FA56D4"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4005">
        <w:t>Section 24</w:t>
      </w:r>
      <w:r w:rsidR="00474005">
        <w:noBreakHyphen/>
        <w:t>21</w:t>
      </w:r>
      <w:r w:rsidR="00474005">
        <w:noBreakHyphen/>
        <w:t>645</w:t>
      </w:r>
      <w:r w:rsidR="00AE536F">
        <w:t>(D)</w:t>
      </w:r>
      <w:r w:rsidR="00474005">
        <w:t xml:space="preserve"> of the 1976 Code</w:t>
      </w:r>
      <w:r w:rsidR="00DA4192">
        <w:t xml:space="preserve">, as last amended by Act 273 of 2010, </w:t>
      </w:r>
      <w:r w:rsidR="00474005">
        <w:t xml:space="preserve">is </w:t>
      </w:r>
      <w:r w:rsidR="00DA4192">
        <w:t xml:space="preserve">further </w:t>
      </w:r>
      <w:r w:rsidR="00474005">
        <w:t>amended to read:</w:t>
      </w:r>
    </w:p>
    <w:p w:rsidR="00474005" w:rsidRDefault="00474005"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D2D" w:rsidRDefault="00474005"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645.</w:t>
      </w:r>
      <w:r w:rsidR="00AE536F">
        <w:tab/>
      </w:r>
      <w:r w:rsidR="00AE536F" w:rsidRPr="00B851A3">
        <w:t>(D)</w:t>
      </w:r>
      <w:r w:rsidR="00AE536F" w:rsidRPr="00B851A3">
        <w:tab/>
        <w:t xml:space="preserve">Upon satisfactory completion of the provisional period, the director or one lawfully acting for him must issue an order which, if accepted by the prisoner, shall provide for his release from custody.  </w:t>
      </w:r>
      <w:r w:rsidR="00AE536F" w:rsidRPr="00AE536F">
        <w:rPr>
          <w:strike/>
        </w:rPr>
        <w:t>However, upon</w:t>
      </w:r>
      <w:r w:rsidR="00AE536F" w:rsidRPr="00B851A3">
        <w:t xml:space="preserve"> </w:t>
      </w:r>
      <w:r w:rsidR="00AE536F" w:rsidRPr="00AE536F">
        <w:rPr>
          <w:u w:val="single"/>
        </w:rPr>
        <w:t>Upon</w:t>
      </w:r>
      <w:r w:rsidR="00AE536F">
        <w:t xml:space="preserve"> </w:t>
      </w:r>
      <w:r w:rsidR="00AE536F" w:rsidRPr="00B851A3">
        <w:t>a negative determination of parole, prisoners in confinement for a violent crime as defined in Section 16</w:t>
      </w:r>
      <w:r w:rsidR="00AE536F">
        <w:noBreakHyphen/>
      </w:r>
      <w:r w:rsidR="00AE536F" w:rsidRPr="00B851A3">
        <w:t>1</w:t>
      </w:r>
      <w:r w:rsidR="00AE536F">
        <w:noBreakHyphen/>
      </w:r>
      <w:r w:rsidR="00AE536F" w:rsidRPr="00B851A3">
        <w:t xml:space="preserve">60 must have their cases reviewed every </w:t>
      </w:r>
      <w:r w:rsidR="00AE536F" w:rsidRPr="00AE536F">
        <w:rPr>
          <w:strike/>
        </w:rPr>
        <w:t>two</w:t>
      </w:r>
      <w:r w:rsidR="00AE536F" w:rsidRPr="00B851A3">
        <w:t xml:space="preserve"> </w:t>
      </w:r>
      <w:r w:rsidR="00AE536F" w:rsidRPr="00AE536F">
        <w:rPr>
          <w:u w:val="single"/>
        </w:rPr>
        <w:t>three</w:t>
      </w:r>
      <w:r w:rsidR="00AE536F">
        <w:t xml:space="preserve"> </w:t>
      </w:r>
      <w:r w:rsidR="00AE536F" w:rsidRPr="00B851A3">
        <w:t>years for the purpose of a determination of parole</w:t>
      </w:r>
      <w:r w:rsidR="00AE536F" w:rsidRPr="00AE536F">
        <w:rPr>
          <w:strike/>
        </w:rPr>
        <w:t>, except that prisoners</w:t>
      </w:r>
      <w:r w:rsidR="00AE536F" w:rsidRPr="001A1C12">
        <w:rPr>
          <w:u w:val="single"/>
        </w:rPr>
        <w:t>.</w:t>
      </w:r>
      <w:r w:rsidR="00AE536F" w:rsidRPr="00AE536F">
        <w:rPr>
          <w:u w:val="single"/>
        </w:rPr>
        <w:t xml:space="preserve">  This subsection applies prospectively and retroactively to a prisoner who has had a parole hearing for a violent crime.</w:t>
      </w:r>
    </w:p>
    <w:p w:rsidR="00AE536F" w:rsidRPr="00B851A3" w:rsidRDefault="00365D2D"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D2D">
        <w:tab/>
      </w:r>
      <w:r>
        <w:rPr>
          <w:u w:val="single"/>
        </w:rPr>
        <w:t>(E)</w:t>
      </w:r>
      <w:r w:rsidRPr="00365D2D">
        <w:tab/>
      </w:r>
      <w:r w:rsidR="00AE536F" w:rsidRPr="00AE536F">
        <w:rPr>
          <w:u w:val="single"/>
        </w:rPr>
        <w:t>Prisoners</w:t>
      </w:r>
      <w:r w:rsidR="00AE536F">
        <w:t xml:space="preserve"> </w:t>
      </w:r>
      <w:r w:rsidR="00AE536F" w:rsidRPr="00B851A3">
        <w:t>who are eligible for parole pursuant to Section 16</w:t>
      </w:r>
      <w:r w:rsidR="00AE536F">
        <w:noBreakHyphen/>
      </w:r>
      <w:r w:rsidR="00AE536F" w:rsidRPr="00B851A3">
        <w:t>25</w:t>
      </w:r>
      <w:r w:rsidR="00AE536F">
        <w:noBreakHyphen/>
      </w:r>
      <w:r w:rsidR="00AE536F" w:rsidRPr="00B851A3">
        <w:t>90, and who are subsequently denied parole must have their cases reviewed every twelve months for the purpose of a determination of parole.  This subsection applies retroactively to a prisoner who has had a parole hearing pursuant to Section 16</w:t>
      </w:r>
      <w:r w:rsidR="00AE536F">
        <w:noBreakHyphen/>
      </w:r>
      <w:r w:rsidR="00AE536F" w:rsidRPr="00B851A3">
        <w:t>25</w:t>
      </w:r>
      <w:r w:rsidR="00AE536F">
        <w:noBreakHyphen/>
      </w:r>
      <w:r w:rsidR="00AE536F" w:rsidRPr="00B851A3">
        <w:t>90 prior to the effective date of this act.”</w:t>
      </w:r>
    </w:p>
    <w:p w:rsidR="00474005" w:rsidRDefault="00474005"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05" w:rsidRDefault="00474005"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69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6934" w:rsidRDefault="00486934" w:rsidP="00486934">
      <w:pPr>
        <w:suppressAutoHyphens/>
      </w:pPr>
    </w:p>
    <w:sectPr w:rsidR="00486934" w:rsidSect="00486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93F" w:rsidRDefault="00B1093F" w:rsidP="009F0C77">
      <w:r>
        <w:separator/>
      </w:r>
    </w:p>
  </w:endnote>
  <w:endnote w:type="continuationSeparator" w:id="0">
    <w:p w:rsidR="00B1093F" w:rsidRDefault="00B109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890121-1AA0-49D6-95F1-E0A40A7D0DC1}"/>
    <w:embedBold r:id="rId2" w:fontKey="{4FC065DA-A05A-4A1E-953D-41749F1DBC9C}"/>
  </w:font>
  <w:font w:name="Calibri">
    <w:panose1 w:val="020F0502020204030204"/>
    <w:charset w:val="00"/>
    <w:family w:val="swiss"/>
    <w:pitch w:val="variable"/>
    <w:sig w:usb0="A00002EF" w:usb1="4000207B" w:usb2="00000000" w:usb3="00000000" w:csb0="0000009F" w:csb1="00000000"/>
    <w:embedRegular r:id="rId3" w:fontKey="{FFC95656-A0B9-46A7-9278-6D6958BBF197}"/>
  </w:font>
  <w:font w:name="Tahoma">
    <w:panose1 w:val="020B0604030504040204"/>
    <w:charset w:val="00"/>
    <w:family w:val="swiss"/>
    <w:pitch w:val="variable"/>
    <w:sig w:usb0="61002A87" w:usb1="80000000" w:usb2="00000008" w:usb3="00000000" w:csb0="000101FF" w:csb1="00000000"/>
    <w:embedRegular r:id="rId4" w:fontKey="{6D15DFA5-DD8B-4E4B-A1D8-8017D66F901B}"/>
  </w:font>
  <w:font w:name="Cambria">
    <w:panose1 w:val="02040503050406030204"/>
    <w:charset w:val="00"/>
    <w:family w:val="roman"/>
    <w:pitch w:val="variable"/>
    <w:sig w:usb0="A00002EF" w:usb1="4000004B" w:usb2="00000000" w:usb3="00000000" w:csb0="0000009F" w:csb1="00000000"/>
    <w:embedRegular r:id="rId5" w:fontKey="{6AB318C3-FE82-4B1B-AD77-97A0EF742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D1B" w:rsidRPr="00486934" w:rsidRDefault="00486934" w:rsidP="00486934">
    <w:pPr>
      <w:pStyle w:val="Footer"/>
      <w:tabs>
        <w:tab w:val="clear" w:pos="4680"/>
        <w:tab w:val="clear" w:pos="9360"/>
        <w:tab w:val="center" w:pos="2995"/>
      </w:tabs>
      <w:spacing w:before="120"/>
    </w:pPr>
    <w:r>
      <w:t>[3614]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93F" w:rsidRDefault="00B1093F" w:rsidP="009F0C77">
      <w:r>
        <w:separator/>
      </w:r>
    </w:p>
  </w:footnote>
  <w:footnote w:type="continuationSeparator" w:id="0">
    <w:p w:rsidR="00B1093F" w:rsidRDefault="00B109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9CM11"/>
    <w:docVar w:name="CoverBillType" w:val="b"/>
    <w:docVar w:name="docpath" w:val="L:\Council\bills\SWB\5069CM11.DOCX"/>
    <w:docVar w:name="dvBillNumber" w:val="3614"/>
    <w:docVar w:name="dvBillNumberPrefix" w:val="H. "/>
    <w:docVar w:name="dvOriginalBody" w:val="House"/>
    <w:docVar w:name="dvSteno" w:val="SWB"/>
    <w:docVar w:name="NameofBody" w:val="h"/>
    <w:docVar w:name="vgroup2" w:val="Council"/>
  </w:docVars>
  <w:rsids>
    <w:rsidRoot w:val="00DD55ED"/>
    <w:rsid w:val="00011869"/>
    <w:rsid w:val="000E1785"/>
    <w:rsid w:val="000F40FA"/>
    <w:rsid w:val="0010776B"/>
    <w:rsid w:val="00133E66"/>
    <w:rsid w:val="001435A3"/>
    <w:rsid w:val="001A1C12"/>
    <w:rsid w:val="001D08F2"/>
    <w:rsid w:val="001D525B"/>
    <w:rsid w:val="001D7F4F"/>
    <w:rsid w:val="002321B6"/>
    <w:rsid w:val="00250967"/>
    <w:rsid w:val="002543C8"/>
    <w:rsid w:val="00284AAE"/>
    <w:rsid w:val="002B3DA9"/>
    <w:rsid w:val="002E5912"/>
    <w:rsid w:val="00325348"/>
    <w:rsid w:val="0032732C"/>
    <w:rsid w:val="00336AD0"/>
    <w:rsid w:val="00365D2D"/>
    <w:rsid w:val="0037079A"/>
    <w:rsid w:val="003D01E8"/>
    <w:rsid w:val="003E5288"/>
    <w:rsid w:val="003F6D79"/>
    <w:rsid w:val="0041760A"/>
    <w:rsid w:val="00417C01"/>
    <w:rsid w:val="00474005"/>
    <w:rsid w:val="004809EE"/>
    <w:rsid w:val="00486934"/>
    <w:rsid w:val="004E7D54"/>
    <w:rsid w:val="005273C6"/>
    <w:rsid w:val="00530A69"/>
    <w:rsid w:val="00545593"/>
    <w:rsid w:val="00577C6C"/>
    <w:rsid w:val="005C2FE2"/>
    <w:rsid w:val="005E2BC9"/>
    <w:rsid w:val="005F662F"/>
    <w:rsid w:val="00605102"/>
    <w:rsid w:val="006215AA"/>
    <w:rsid w:val="006913C9"/>
    <w:rsid w:val="0069470D"/>
    <w:rsid w:val="00734F00"/>
    <w:rsid w:val="00790CC0"/>
    <w:rsid w:val="007A3CAA"/>
    <w:rsid w:val="007A70AE"/>
    <w:rsid w:val="008362E8"/>
    <w:rsid w:val="008A1768"/>
    <w:rsid w:val="008E3196"/>
    <w:rsid w:val="008F4429"/>
    <w:rsid w:val="0094021A"/>
    <w:rsid w:val="009C6A0B"/>
    <w:rsid w:val="009F0C77"/>
    <w:rsid w:val="009F4DD1"/>
    <w:rsid w:val="00A41684"/>
    <w:rsid w:val="00A64E80"/>
    <w:rsid w:val="00A72BCD"/>
    <w:rsid w:val="00A741D9"/>
    <w:rsid w:val="00A833AB"/>
    <w:rsid w:val="00A9741D"/>
    <w:rsid w:val="00AD4B17"/>
    <w:rsid w:val="00AE536F"/>
    <w:rsid w:val="00B1093F"/>
    <w:rsid w:val="00B412D4"/>
    <w:rsid w:val="00BE3C22"/>
    <w:rsid w:val="00C0345E"/>
    <w:rsid w:val="00C3483A"/>
    <w:rsid w:val="00C74E9D"/>
    <w:rsid w:val="00C82FD3"/>
    <w:rsid w:val="00C92819"/>
    <w:rsid w:val="00CC6B7B"/>
    <w:rsid w:val="00CD2089"/>
    <w:rsid w:val="00D23FE1"/>
    <w:rsid w:val="00D73A67"/>
    <w:rsid w:val="00D970A9"/>
    <w:rsid w:val="00DA4192"/>
    <w:rsid w:val="00DD55ED"/>
    <w:rsid w:val="00DD7A0C"/>
    <w:rsid w:val="00DF3845"/>
    <w:rsid w:val="00E41911"/>
    <w:rsid w:val="00E92EEF"/>
    <w:rsid w:val="00EB0FF4"/>
    <w:rsid w:val="00EC2D1B"/>
    <w:rsid w:val="00F24442"/>
    <w:rsid w:val="00F50AE3"/>
    <w:rsid w:val="00F67CF1"/>
    <w:rsid w:val="00F840F0"/>
    <w:rsid w:val="00FA56D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36F"/>
    <w:rPr>
      <w:rFonts w:ascii="Tahoma" w:hAnsi="Tahoma" w:cs="Tahoma"/>
      <w:sz w:val="16"/>
      <w:szCs w:val="16"/>
    </w:rPr>
  </w:style>
  <w:style w:type="character" w:customStyle="1" w:styleId="BalloonTextChar">
    <w:name w:val="Balloon Text Char"/>
    <w:basedOn w:val="DefaultParagraphFont"/>
    <w:link w:val="BalloonText"/>
    <w:uiPriority w:val="99"/>
    <w:semiHidden/>
    <w:rsid w:val="00AE53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C6896-ECEC-4BA5-9847-93120F57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2011-01-13T21:12:00Z</cp:lastPrinted>
  <dcterms:created xsi:type="dcterms:W3CDTF">2011-02-08T17:55:00Z</dcterms:created>
  <dcterms:modified xsi:type="dcterms:W3CDTF">2011-02-08T17:55:00Z</dcterms:modified>
</cp:coreProperties>
</file>