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F32" w:rsidRDefault="00804F32" w:rsidP="00655A25">
      <w:pPr>
        <w:pStyle w:val="BillDots"/>
      </w:pPr>
      <w:r>
        <w:rPr>
          <w:strike/>
        </w:rPr>
        <w:t>Indicates Matter Stricken</w:t>
      </w:r>
    </w:p>
    <w:p w:rsidR="00804F32" w:rsidRPr="00804F32" w:rsidRDefault="00804F32" w:rsidP="00655A25">
      <w:pPr>
        <w:pStyle w:val="BillDots"/>
      </w:pPr>
      <w:r>
        <w:rPr>
          <w:u w:val="single"/>
        </w:rPr>
        <w:t>Indicates New Matter</w:t>
      </w:r>
    </w:p>
    <w:p w:rsidR="00804F32" w:rsidRDefault="00804F32" w:rsidP="00655A25">
      <w:pPr>
        <w:pStyle w:val="BillDots"/>
      </w:pP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2C2E53" w:rsidRDefault="006D2B0A" w:rsidP="00804F32">
      <w:pPr>
        <w:pStyle w:val="BillDots"/>
        <w:tabs>
          <w:tab w:val="clear" w:pos="216"/>
          <w:tab w:val="clear" w:pos="432"/>
          <w:tab w:val="clear" w:pos="648"/>
          <w:tab w:val="clear" w:pos="864"/>
          <w:tab w:val="clear" w:pos="1080"/>
          <w:tab w:val="clear" w:pos="1296"/>
          <w:tab w:val="clear" w:pos="5904"/>
          <w:tab w:val="right" w:pos="5933"/>
        </w:tabs>
      </w:pPr>
      <w:r>
        <w:t>Amt. No. 2A</w:t>
      </w:r>
      <w:r w:rsidR="002C2E53">
        <w:t xml:space="preserve"> (Doc. Path council\nbd\12</w:t>
      </w:r>
      <w:r>
        <w:t>411</w:t>
      </w:r>
      <w:r w:rsidR="002C2E53">
        <w:t>dg12)</w:t>
      </w: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r>
        <w:t xml:space="preserve">May </w:t>
      </w:r>
      <w:r w:rsidR="006D2B0A">
        <w:t>2</w:t>
      </w:r>
      <w:r>
        <w:t>, 2012</w:t>
      </w: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p>
    <w:p w:rsidR="00804F32" w:rsidRPr="00804F32" w:rsidRDefault="00804F32" w:rsidP="00804F32">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804F32" w:rsidRDefault="00804F32" w:rsidP="00655A25">
      <w:pPr>
        <w:pStyle w:val="BillDots"/>
      </w:pPr>
    </w:p>
    <w:p w:rsidR="00804F32" w:rsidRDefault="00804F32" w:rsidP="00804F32">
      <w:pPr>
        <w:pStyle w:val="BillDots"/>
        <w:jc w:val="center"/>
      </w:pPr>
      <w:r>
        <w:t>Introduced by Reps. Cooper, Henderson and Patrick</w:t>
      </w:r>
    </w:p>
    <w:p w:rsidR="00804F32" w:rsidRDefault="00804F32" w:rsidP="00655A25">
      <w:pPr>
        <w:pStyle w:val="BillDots"/>
      </w:pPr>
    </w:p>
    <w:p w:rsidR="00804F32" w:rsidRDefault="0065354D" w:rsidP="003B58ED">
      <w:pPr>
        <w:pStyle w:val="BillDots"/>
        <w:tabs>
          <w:tab w:val="clear" w:pos="216"/>
          <w:tab w:val="clear" w:pos="432"/>
          <w:tab w:val="clear" w:pos="648"/>
          <w:tab w:val="clear" w:pos="864"/>
          <w:tab w:val="clear" w:pos="1080"/>
          <w:tab w:val="clear" w:pos="1296"/>
          <w:tab w:val="clear" w:pos="5904"/>
          <w:tab w:val="right" w:pos="5933"/>
        </w:tabs>
      </w:pPr>
      <w:r>
        <w:t>S. Printed 3/27</w:t>
      </w:r>
      <w:r w:rsidR="00804F32">
        <w:t>/12--S.</w:t>
      </w:r>
      <w:r w:rsidR="003B58ED">
        <w:tab/>
        <w:t>[SEC 5/29/12 12:21 PM]</w:t>
      </w:r>
    </w:p>
    <w:p w:rsidR="00804F32" w:rsidRDefault="00804F32" w:rsidP="00655A25">
      <w:pPr>
        <w:pStyle w:val="BillDots"/>
      </w:pPr>
      <w:r>
        <w:t>Read the first time May 3, 2011.</w:t>
      </w:r>
    </w:p>
    <w:p w:rsidR="00804F32" w:rsidRPr="00804F32" w:rsidRDefault="00804F32" w:rsidP="00804F32">
      <w:pPr>
        <w:pStyle w:val="BillDots"/>
        <w:jc w:val="center"/>
      </w:pPr>
      <w:r>
        <w:rPr>
          <w:u w:val="single"/>
        </w:rPr>
        <w:t>            </w:t>
      </w: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65354D" w:rsidRDefault="0065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1</w:t>
      </w:r>
      <w:r w:rsidRPr="004C429D">
        <w:rPr>
          <w:u w:color="000000" w:themeColor="text1"/>
        </w:rPr>
        <w:t>.</w:t>
      </w:r>
      <w:r w:rsidRPr="004C429D">
        <w:rPr>
          <w:u w:color="000000" w:themeColor="text1"/>
        </w:rPr>
        <w:tab/>
        <w:t>Section 12</w:t>
      </w:r>
      <w:r w:rsidRPr="004C429D">
        <w:rPr>
          <w:u w:color="000000" w:themeColor="text1"/>
        </w:rPr>
        <w:noBreakHyphen/>
        <w:t>6</w:t>
      </w:r>
      <w:r w:rsidRPr="004C429D">
        <w:rPr>
          <w:u w:color="000000" w:themeColor="text1"/>
        </w:rPr>
        <w:noBreakHyphen/>
        <w:t>3360(M)(13) and (14) of the 1976 Code, as last amended by Act 290 of 2010, is further amended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‘(13)</w:t>
      </w:r>
      <w:r w:rsidRPr="004C429D">
        <w:rPr>
          <w:u w:color="000000" w:themeColor="text1"/>
        </w:rPr>
        <w:tab/>
        <w:t>‘Qualifying service</w:t>
      </w:r>
      <w:r w:rsidRPr="004C429D">
        <w:rPr>
          <w:u w:color="000000" w:themeColor="text1"/>
        </w:rPr>
        <w:noBreakHyphen/>
        <w:t xml:space="preserve">related facility’ means: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(a)</w:t>
      </w:r>
      <w:r w:rsidRPr="004C429D">
        <w:rPr>
          <w:u w:color="000000" w:themeColor="text1"/>
        </w:rPr>
        <w:tab/>
        <w:t xml:space="preserve">an establishment engaged in an activity or activities listed under the North American Industry Classification System Manual (NAICS) Section 62, subsectors 621, 622, and 623;  or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(b)</w:t>
      </w:r>
      <w:r w:rsidRPr="004C429D">
        <w:rPr>
          <w:u w:color="000000" w:themeColor="text1"/>
        </w:rPr>
        <w:tab/>
        <w:t xml:space="preserve">a business, other than a business engaged in legal, accounting, banking, or investment services </w:t>
      </w:r>
      <w:r w:rsidRPr="004C429D">
        <w:rPr>
          <w:u w:val="single" w:color="000000" w:themeColor="text1"/>
        </w:rPr>
        <w:t>(including a business identified under NAICS Section 55)</w:t>
      </w:r>
      <w:r w:rsidRPr="004C429D">
        <w:rPr>
          <w:u w:color="000000" w:themeColor="text1"/>
        </w:rPr>
        <w:t xml:space="preserve"> or retail sales, which has a net increase of at least: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w:t>
      </w:r>
      <w:r w:rsidRPr="004C429D">
        <w:rPr>
          <w:u w:color="000000" w:themeColor="text1"/>
        </w:rPr>
        <w:tab/>
      </w:r>
      <w:r w:rsidRPr="004C429D">
        <w:rPr>
          <w:u w:color="000000" w:themeColor="text1"/>
        </w:rPr>
        <w:tab/>
      </w:r>
      <w:r w:rsidRPr="004C429D">
        <w:rPr>
          <w:strike/>
          <w:u w:color="000000" w:themeColor="text1"/>
        </w:rPr>
        <w:t>two</w:t>
      </w:r>
      <w:r w:rsidRPr="004C429D">
        <w:rPr>
          <w:u w:color="000000" w:themeColor="text1"/>
        </w:rPr>
        <w:t xml:space="preserve"> </w:t>
      </w:r>
      <w:r w:rsidRPr="004C429D">
        <w:rPr>
          <w:u w:val="single" w:color="000000" w:themeColor="text1"/>
        </w:rPr>
        <w:t>one</w:t>
      </w:r>
      <w:r w:rsidRPr="004C429D">
        <w:rPr>
          <w:u w:color="000000" w:themeColor="text1"/>
        </w:rPr>
        <w:t xml:space="preserve"> hundred </w:t>
      </w:r>
      <w:r w:rsidRPr="004C429D">
        <w:rPr>
          <w:strike/>
          <w:u w:color="000000" w:themeColor="text1"/>
        </w:rPr>
        <w:t>fifty</w:t>
      </w:r>
      <w:r w:rsidRPr="004C429D">
        <w:rPr>
          <w:u w:color="000000" w:themeColor="text1"/>
        </w:rPr>
        <w:t xml:space="preserve"> </w:t>
      </w:r>
      <w:r w:rsidRPr="004C429D">
        <w:rPr>
          <w:u w:val="single" w:color="000000" w:themeColor="text1"/>
        </w:rPr>
        <w:t>seventy</w:t>
      </w:r>
      <w:r w:rsidRPr="004C429D">
        <w:rPr>
          <w:u w:val="single" w:color="000000" w:themeColor="text1"/>
        </w:rPr>
        <w:noBreakHyphen/>
        <w:t>five</w:t>
      </w:r>
      <w:r w:rsidRPr="004C429D">
        <w:rPr>
          <w:u w:color="000000" w:themeColor="text1"/>
        </w:rPr>
        <w:t xml:space="preserve"> jobs at a single location;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(ii)</w:t>
      </w:r>
      <w:r w:rsidRPr="004C429D">
        <w:rPr>
          <w:u w:color="000000" w:themeColor="text1"/>
        </w:rPr>
        <w:tab/>
      </w:r>
      <w:r w:rsidRPr="004C429D">
        <w:rPr>
          <w:rFonts w:eastAsia="Calibri"/>
          <w:u w:val="single" w:color="000000" w:themeColor="text1"/>
        </w:rPr>
        <w:t>one hundred fifty jobs at a single location comprised of a building or portion of building that has been vacant for at least twelve consecutive months prior to the taxpayer</w:t>
      </w:r>
      <w:r w:rsidRPr="004C429D">
        <w:rPr>
          <w:u w:val="single" w:color="000000" w:themeColor="text1"/>
        </w:rPr>
        <w:t>’</w:t>
      </w:r>
      <w:r w:rsidRPr="004C429D">
        <w:rPr>
          <w:rFonts w:eastAsia="Calibri"/>
          <w:u w:val="single" w:color="000000" w:themeColor="text1"/>
        </w:rPr>
        <w:t>s investment;</w:t>
      </w:r>
      <w:r w:rsidRPr="004C429D">
        <w:rPr>
          <w:rFonts w:eastAsia="Calibri"/>
          <w:u w:color="000000" w:themeColor="text1"/>
        </w:rPr>
        <w:t xml:space="preserve">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(iii)</w:t>
      </w:r>
      <w:r w:rsidRPr="004C429D">
        <w:rPr>
          <w:u w:color="000000" w:themeColor="text1"/>
        </w:rPr>
        <w:tab/>
        <w:t xml:space="preserve">one hundred </w:t>
      </w:r>
      <w:r w:rsidRPr="004C429D">
        <w:rPr>
          <w:strike/>
          <w:u w:color="000000" w:themeColor="text1"/>
        </w:rPr>
        <w:t>twenty</w:t>
      </w:r>
      <w:r w:rsidRPr="004C429D">
        <w:rPr>
          <w:strike/>
          <w:u w:color="000000" w:themeColor="text1"/>
        </w:rPr>
        <w:noBreakHyphen/>
        <w:t>five</w:t>
      </w:r>
      <w:r w:rsidRPr="004C429D">
        <w:rPr>
          <w:u w:color="000000" w:themeColor="text1"/>
        </w:rPr>
        <w:t xml:space="preserve"> jobs at a single location and the jobs have an average cash compensation level of more than one and one</w:t>
      </w:r>
      <w:r w:rsidRPr="004C429D">
        <w:rPr>
          <w:u w:color="000000" w:themeColor="text1"/>
        </w:rPr>
        <w:noBreakHyphen/>
        <w:t xml:space="preserve">half times the lower of state per capita income or per capita income in the county where the jobs are located;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strike/>
          <w:u w:color="000000" w:themeColor="text1"/>
        </w:rPr>
        <w:t>(iii)</w:t>
      </w:r>
      <w:r w:rsidRPr="004C429D">
        <w:rPr>
          <w:u w:val="single" w:color="000000" w:themeColor="text1"/>
        </w:rPr>
        <w:t>(iv)</w:t>
      </w:r>
      <w:r w:rsidRPr="004C429D">
        <w:rPr>
          <w:u w:color="000000" w:themeColor="text1"/>
        </w:rPr>
        <w:tab/>
      </w:r>
      <w:r>
        <w:rPr>
          <w:u w:color="000000" w:themeColor="text1"/>
        </w:rPr>
        <w:tab/>
      </w:r>
      <w:r w:rsidRPr="004C429D">
        <w:rPr>
          <w:strike/>
          <w:u w:color="000000" w:themeColor="text1"/>
        </w:rPr>
        <w:t>seventy</w:t>
      </w:r>
      <w:r w:rsidRPr="004C429D">
        <w:rPr>
          <w:strike/>
          <w:u w:color="000000" w:themeColor="text1"/>
        </w:rPr>
        <w:noBreakHyphen/>
        <w:t>five</w:t>
      </w:r>
      <w:r w:rsidRPr="004C429D">
        <w:rPr>
          <w:u w:color="000000" w:themeColor="text1"/>
        </w:rPr>
        <w:t xml:space="preserve"> </w:t>
      </w:r>
      <w:r w:rsidRPr="004C429D">
        <w:rPr>
          <w:u w:val="single" w:color="000000" w:themeColor="text1"/>
        </w:rPr>
        <w:t>fifty</w:t>
      </w:r>
      <w:r w:rsidRPr="004C429D">
        <w:rPr>
          <w:u w:color="000000" w:themeColor="text1"/>
        </w:rPr>
        <w:t xml:space="preserve"> jobs at a single location and the jobs have an average cash compensation level of more than twice the lower of state per capita income or per capita income in the county where the jobs are located;  or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strike/>
          <w:u w:color="000000" w:themeColor="text1"/>
        </w:rPr>
        <w:t>(iv)</w:t>
      </w:r>
      <w:r w:rsidRPr="004C429D">
        <w:rPr>
          <w:u w:val="single" w:color="000000" w:themeColor="text1"/>
        </w:rPr>
        <w:t>(v)</w:t>
      </w:r>
      <w:r w:rsidRPr="004C429D">
        <w:rPr>
          <w:u w:color="000000" w:themeColor="text1"/>
        </w:rPr>
        <w:tab/>
      </w:r>
      <w:r w:rsidRPr="004C429D">
        <w:rPr>
          <w:strike/>
          <w:u w:color="000000" w:themeColor="text1"/>
        </w:rPr>
        <w:t>thirty</w:t>
      </w:r>
      <w:r w:rsidRPr="004C429D">
        <w:rPr>
          <w:u w:color="000000" w:themeColor="text1"/>
        </w:rPr>
        <w:t xml:space="preserve"> </w:t>
      </w:r>
      <w:r w:rsidRPr="004C429D">
        <w:rPr>
          <w:u w:val="single" w:color="000000" w:themeColor="text1"/>
        </w:rPr>
        <w:t>twenty</w:t>
      </w:r>
      <w:r w:rsidRPr="004C429D">
        <w:rPr>
          <w:u w:val="single" w:color="000000" w:themeColor="text1"/>
        </w:rPr>
        <w:noBreakHyphen/>
        <w:t>five</w:t>
      </w:r>
      <w:r w:rsidRPr="004C429D">
        <w:rPr>
          <w:u w:color="000000" w:themeColor="text1"/>
        </w:rPr>
        <w:t xml:space="preserve"> jobs at a single location and the jobs have an average cash compensation level of more than two and one</w:t>
      </w:r>
      <w:r w:rsidRPr="004C429D">
        <w:rPr>
          <w:u w:color="000000" w:themeColor="text1"/>
        </w:rPr>
        <w:noBreakHyphen/>
        <w:t xml:space="preserve">half times the lower of state per capita income or per capita income in the county where the jobs are located.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A taxpayer shall use the most recent per capita income data available as of the end of the taxable year in which the jobs are filled.  Determination of the required number of jobs is in accordance with the monthly average described in subsection (F).</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(14)</w:t>
      </w:r>
      <w:r w:rsidRPr="004C429D">
        <w:rPr>
          <w:u w:color="000000" w:themeColor="text1"/>
        </w:rPr>
        <w:tab/>
        <w:t xml:space="preserve">‘Technology intensive facility’ means: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(a)</w:t>
      </w:r>
      <w:r w:rsidRPr="004C429D">
        <w:rPr>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w:t>
      </w:r>
      <w:r w:rsidRPr="004C429D">
        <w:rPr>
          <w:u w:color="000000" w:themeColor="text1"/>
        </w:rPr>
        <w:lastRenderedPageBreak/>
        <w:t xml:space="preserve">Classification Systems, NAICS, Codes published by the Office of the Management and Budget of the federal government: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w:t>
      </w:r>
      <w:r w:rsidRPr="004C429D">
        <w:rPr>
          <w:u w:color="000000" w:themeColor="text1"/>
        </w:rPr>
        <w:tab/>
      </w:r>
      <w:r w:rsidRPr="004C429D">
        <w:rPr>
          <w:u w:color="000000" w:themeColor="text1"/>
        </w:rPr>
        <w:tab/>
        <w:t xml:space="preserve">5114 database and directory publishers;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(ii)</w:t>
      </w:r>
      <w:r w:rsidRPr="004C429D">
        <w:rPr>
          <w:u w:color="000000" w:themeColor="text1"/>
        </w:rPr>
        <w:tab/>
        <w:t xml:space="preserve">5112 software publishers;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(iii)</w:t>
      </w:r>
      <w:r w:rsidRPr="004C429D">
        <w:rPr>
          <w:u w:color="000000" w:themeColor="text1"/>
        </w:rPr>
        <w:tab/>
        <w:t xml:space="preserve">54151 computer systems design and related services;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(iv)</w:t>
      </w:r>
      <w:r w:rsidRPr="004C429D">
        <w:rPr>
          <w:u w:color="000000" w:themeColor="text1"/>
        </w:rPr>
        <w:tab/>
        <w:t xml:space="preserve">541511 custom computer programming services;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(v)</w:t>
      </w:r>
      <w:r w:rsidRPr="004C429D">
        <w:rPr>
          <w:u w:color="000000" w:themeColor="text1"/>
        </w:rPr>
        <w:tab/>
        <w:t xml:space="preserve">541512 computer systems design services;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(vi)</w:t>
      </w:r>
      <w:r w:rsidRPr="004C429D">
        <w:rPr>
          <w:u w:color="000000" w:themeColor="text1"/>
        </w:rPr>
        <w:tab/>
      </w:r>
      <w:r w:rsidRPr="004C429D">
        <w:rPr>
          <w:strike/>
          <w:u w:color="000000" w:themeColor="text1"/>
        </w:rPr>
        <w:t xml:space="preserve">541710 scientific research and development services </w:t>
      </w:r>
      <w:r w:rsidRPr="004C429D">
        <w:rPr>
          <w:u w:val="single" w:color="000000" w:themeColor="text1"/>
        </w:rPr>
        <w:t>541711 research and development in biotechnology; 2007 NAICS</w:t>
      </w:r>
      <w:r w:rsidRPr="004C429D">
        <w:rPr>
          <w:u w:color="000000" w:themeColor="text1"/>
        </w:rPr>
        <w:t>;</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(vii)</w:t>
      </w:r>
      <w:r w:rsidRPr="004C429D">
        <w:rPr>
          <w:u w:color="000000" w:themeColor="text1"/>
        </w:rPr>
        <w:tab/>
      </w:r>
      <w:r w:rsidRPr="004C429D">
        <w:rPr>
          <w:u w:val="single" w:color="000000" w:themeColor="text1"/>
        </w:rPr>
        <w:t>541712 research and development in physical, engineering, and life sciences; 2007 NAICS;</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(viii)</w:t>
      </w:r>
      <w:r w:rsidRPr="004C429D">
        <w:rPr>
          <w:u w:color="000000" w:themeColor="text1"/>
        </w:rPr>
        <w:tab/>
      </w:r>
      <w:r w:rsidRPr="004C429D">
        <w:rPr>
          <w:u w:val="single" w:color="000000" w:themeColor="text1"/>
        </w:rPr>
        <w:t>518210 data processing, hosting, and related services;</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(ix)</w:t>
      </w:r>
      <w:r w:rsidRPr="004C429D">
        <w:rPr>
          <w:u w:color="000000" w:themeColor="text1"/>
        </w:rPr>
        <w:tab/>
        <w:t>9271 space research and technology; or</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(b)</w:t>
      </w:r>
      <w:r w:rsidRPr="004C429D">
        <w:rPr>
          <w:u w:color="000000" w:themeColor="text1"/>
        </w:rPr>
        <w:tab/>
        <w:t>a facility primarily used for one or more activities listed under the 2002 version of the NAICS Codes 51811 (Internet Service Providers and Web Search Portals).”</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2</w:t>
      </w:r>
      <w:r w:rsidRPr="004C429D">
        <w:rPr>
          <w:u w:color="000000" w:themeColor="text1"/>
        </w:rPr>
        <w:t>.</w:t>
      </w:r>
      <w:r w:rsidRPr="004C429D">
        <w:rPr>
          <w:u w:color="000000" w:themeColor="text1"/>
        </w:rPr>
        <w:tab/>
        <w:t>Section 12</w:t>
      </w:r>
      <w:r w:rsidRPr="004C429D">
        <w:rPr>
          <w:u w:color="000000" w:themeColor="text1"/>
        </w:rPr>
        <w:noBreakHyphen/>
        <w:t>20</w:t>
      </w:r>
      <w:r w:rsidRPr="004C429D">
        <w:rPr>
          <w:u w:color="000000" w:themeColor="text1"/>
        </w:rPr>
        <w:noBreakHyphen/>
        <w:t>105 of the 1976 Code, as last amended by Act 290 of 2010, is further amended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“Section 12</w:t>
      </w:r>
      <w:r w:rsidRPr="004C429D">
        <w:rPr>
          <w:u w:color="000000" w:themeColor="text1"/>
        </w:rPr>
        <w:noBreakHyphen/>
        <w:t>20</w:t>
      </w:r>
      <w:r w:rsidRPr="004C429D">
        <w:rPr>
          <w:u w:color="000000" w:themeColor="text1"/>
        </w:rPr>
        <w:noBreakHyphen/>
        <w:t>105.</w:t>
      </w:r>
      <w:r w:rsidRPr="004C429D">
        <w:rPr>
          <w:u w:color="000000" w:themeColor="text1"/>
        </w:rPr>
        <w:tab/>
        <w:t>(A)</w:t>
      </w:r>
      <w:r w:rsidRPr="004C429D">
        <w:rPr>
          <w:u w:color="000000" w:themeColor="text1"/>
        </w:rPr>
        <w:tab/>
        <w:t>Any company subject to a license tax under Section 12</w:t>
      </w:r>
      <w:r w:rsidRPr="004C429D">
        <w:rPr>
          <w:u w:color="000000" w:themeColor="text1"/>
        </w:rPr>
        <w:noBreakHyphen/>
        <w:t>20</w:t>
      </w:r>
      <w:r w:rsidRPr="004C429D">
        <w:rPr>
          <w:u w:color="000000" w:themeColor="text1"/>
        </w:rPr>
        <w:noBreakHyphen/>
        <w:t xml:space="preserve">100 may claim a credit against its license tax liability for amounts paid in cash to provide infrastructure for an eligible project.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(B)(1)</w:t>
      </w:r>
      <w:r w:rsidRPr="004C429D">
        <w:rPr>
          <w:u w:color="000000" w:themeColor="text1"/>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(2)</w:t>
      </w:r>
      <w:r w:rsidRPr="004C429D">
        <w:rPr>
          <w:u w:color="000000" w:themeColor="text1"/>
        </w:rPr>
        <w:tab/>
        <w:t xml:space="preserve">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(C)</w:t>
      </w:r>
      <w:r w:rsidRPr="004C429D">
        <w:rPr>
          <w:u w:color="000000" w:themeColor="text1"/>
        </w:rPr>
        <w:tab/>
        <w:t xml:space="preserve">For the purpose of this section, ‘infrastructure’ means improvements for water, wastewater, hydrogen fuel, sewer, gas, steam, electric energy, and communication services made to a </w:t>
      </w:r>
      <w:r w:rsidRPr="004C429D">
        <w:rPr>
          <w:u w:color="000000" w:themeColor="text1"/>
        </w:rPr>
        <w:lastRenderedPageBreak/>
        <w:t xml:space="preserve">building or land that are considered necessary, suitable, or useful to an eligible project.  These improvements include, but are not limited to: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(1)</w:t>
      </w:r>
      <w:r w:rsidRPr="004C429D">
        <w:rPr>
          <w:u w:color="000000" w:themeColor="text1"/>
        </w:rPr>
        <w:tab/>
        <w:t xml:space="preserve">improvements to both public or private water and sewer systems;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(2)</w:t>
      </w:r>
      <w:r w:rsidRPr="004C429D">
        <w:rPr>
          <w:u w:color="000000" w:themeColor="text1"/>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(3)</w:t>
      </w:r>
      <w:r w:rsidRPr="004C429D">
        <w:rPr>
          <w:u w:color="000000" w:themeColor="text1"/>
        </w:rPr>
        <w:tab/>
        <w:t xml:space="preserve">fixed transportation facilities including highway, road, rail, water, and air;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(4)</w:t>
      </w:r>
      <w:r w:rsidRPr="004C429D">
        <w:rPr>
          <w:u w:color="000000" w:themeColor="text1"/>
        </w:rPr>
        <w:tab/>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4C429D">
        <w:rPr>
          <w:strike/>
          <w:u w:color="000000" w:themeColor="text1"/>
        </w:rPr>
        <w:t>and</w:t>
      </w:r>
      <w:r w:rsidRPr="004C429D">
        <w:rPr>
          <w:u w:color="000000" w:themeColor="text1"/>
        </w:rPr>
        <w:t xml:space="preserve">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(5)</w:t>
      </w:r>
      <w:r w:rsidRPr="004C429D">
        <w:rPr>
          <w:u w:color="000000" w:themeColor="text1"/>
        </w:rPr>
        <w:tab/>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w:t>
      </w:r>
      <w:r w:rsidRPr="004C429D">
        <w:rPr>
          <w:u w:val="single" w:color="000000" w:themeColor="text1"/>
        </w:rPr>
        <w:t>; and</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val="single" w:color="000000" w:themeColor="text1"/>
        </w:rPr>
        <w:t>(6)</w:t>
      </w:r>
      <w:r w:rsidRPr="004C429D">
        <w:rPr>
          <w:u w:color="000000" w:themeColor="text1"/>
        </w:rPr>
        <w:tab/>
      </w:r>
      <w:r w:rsidRPr="004C429D">
        <w:rPr>
          <w:u w:val="single" w:color="000000" w:themeColor="text1"/>
        </w:rPr>
        <w:t>for a qualifying project pursuant to subsection (B)(2), site preparation costs include, but are not limited to:</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(a)</w:t>
      </w:r>
      <w:r w:rsidRPr="004C429D">
        <w:rPr>
          <w:u w:color="000000" w:themeColor="text1"/>
        </w:rPr>
        <w:tab/>
      </w:r>
      <w:r w:rsidRPr="004C429D">
        <w:rPr>
          <w:u w:val="single" w:color="000000" w:themeColor="text1"/>
        </w:rPr>
        <w:t>clearing, grubbing, grading, and stormwater retention; and</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(b)</w:t>
      </w:r>
      <w:r w:rsidRPr="004C429D">
        <w:rPr>
          <w:u w:color="000000" w:themeColor="text1"/>
        </w:rPr>
        <w:tab/>
      </w:r>
      <w:r w:rsidRPr="004C429D">
        <w:rPr>
          <w:u w:val="single" w:color="000000" w:themeColor="text1"/>
        </w:rPr>
        <w:t>refurbishment of buildings that are owned or controlled by a county or municipality and are used exclusively for economic development purposes</w:t>
      </w:r>
      <w:r w:rsidRPr="004C429D">
        <w:rPr>
          <w:u w:color="000000" w:themeColor="text1"/>
        </w:rPr>
        <w:t>.</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(D)</w:t>
      </w:r>
      <w:r w:rsidRPr="004C429D">
        <w:rPr>
          <w:u w:color="000000" w:themeColor="text1"/>
        </w:rPr>
        <w:tab/>
        <w:t xml:space="preserve">A company is not allowed the credit provided by this section for actual expenses it incurs in the construction and </w:t>
      </w:r>
      <w:r w:rsidRPr="004C429D">
        <w:rPr>
          <w:u w:color="000000" w:themeColor="text1"/>
        </w:rPr>
        <w:lastRenderedPageBreak/>
        <w:t xml:space="preserve">operation of any building or infrastructure it owns, leases, manages, or operates.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(E)</w:t>
      </w:r>
      <w:r w:rsidRPr="004C429D">
        <w:rPr>
          <w:u w:color="000000" w:themeColor="text1"/>
        </w:rPr>
        <w:tab/>
        <w:t xml:space="preserve">The maximum aggregate credit that may be claimed in any tax year by a single company is </w:t>
      </w:r>
      <w:r w:rsidRPr="004C429D">
        <w:rPr>
          <w:strike/>
          <w:u w:color="000000" w:themeColor="text1"/>
        </w:rPr>
        <w:t>three</w:t>
      </w:r>
      <w:r w:rsidRPr="004C429D">
        <w:rPr>
          <w:u w:color="000000" w:themeColor="text1"/>
        </w:rPr>
        <w:t xml:space="preserve"> </w:t>
      </w:r>
      <w:r w:rsidRPr="004C429D">
        <w:rPr>
          <w:u w:val="single" w:color="000000" w:themeColor="text1"/>
        </w:rPr>
        <w:t>four</w:t>
      </w:r>
      <w:r w:rsidRPr="004C429D">
        <w:rPr>
          <w:u w:color="000000" w:themeColor="text1"/>
        </w:rPr>
        <w:t xml:space="preserve"> hundred thousand dollars.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(F)</w:t>
      </w:r>
      <w:r w:rsidRPr="004C429D">
        <w:rPr>
          <w:u w:color="000000" w:themeColor="text1"/>
        </w:rPr>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(G)</w:t>
      </w:r>
      <w:r w:rsidRPr="004C429D">
        <w:rPr>
          <w:u w:color="000000" w:themeColor="text1"/>
        </w:rPr>
        <w:tab/>
        <w:t>For South Carolina income tax and license purposes, a company that claims the credit allowed by this section is ineligible to claim the credit allowed by Section 12</w:t>
      </w:r>
      <w:r w:rsidRPr="004C429D">
        <w:rPr>
          <w:u w:color="000000" w:themeColor="text1"/>
        </w:rPr>
        <w:noBreakHyphen/>
        <w:t>6</w:t>
      </w:r>
      <w:r w:rsidRPr="004C429D">
        <w:rPr>
          <w:u w:color="000000" w:themeColor="text1"/>
        </w:rPr>
        <w:noBreakHyphen/>
        <w:t xml:space="preserve">3420.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(H)</w:t>
      </w:r>
      <w:r w:rsidRPr="004C429D">
        <w:rPr>
          <w:u w:color="000000" w:themeColor="text1"/>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3</w:t>
      </w:r>
      <w:r w:rsidRPr="004C429D">
        <w:rPr>
          <w:u w:color="000000" w:themeColor="text1"/>
        </w:rPr>
        <w:t>.</w:t>
      </w:r>
      <w:r w:rsidRPr="004C429D">
        <w:rPr>
          <w:u w:color="000000" w:themeColor="text1"/>
        </w:rPr>
        <w:tab/>
        <w:t>Section 12</w:t>
      </w:r>
      <w:r w:rsidRPr="004C429D">
        <w:rPr>
          <w:u w:color="000000" w:themeColor="text1"/>
        </w:rPr>
        <w:noBreakHyphen/>
        <w:t>44</w:t>
      </w:r>
      <w:r w:rsidRPr="004C429D">
        <w:rPr>
          <w:u w:color="000000" w:themeColor="text1"/>
        </w:rPr>
        <w:noBreakHyphen/>
        <w:t>30(21) of the 1976 Code, as last amended by Act 290 of 2010, is further amended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“(21)</w:t>
      </w:r>
      <w:r w:rsidRPr="004C429D">
        <w:rPr>
          <w:u w:color="000000" w:themeColor="text1"/>
        </w:rPr>
        <w:tab/>
        <w:t xml:space="preserve">‘Termination date’ means the date that is the last day of a property tax year that is </w:t>
      </w:r>
      <w:r w:rsidRPr="004C429D">
        <w:rPr>
          <w:u w:val="single" w:color="000000" w:themeColor="text1"/>
        </w:rPr>
        <w:t>no later than</w:t>
      </w:r>
      <w:r w:rsidRPr="004C429D">
        <w:rPr>
          <w:u w:color="000000" w:themeColor="text1"/>
        </w:rPr>
        <w:t xml:space="preserve"> the twenty</w:t>
      </w:r>
      <w:r w:rsidRPr="004C429D">
        <w:rPr>
          <w:u w:color="000000" w:themeColor="text1"/>
        </w:rPr>
        <w:noBreakHyphen/>
        <w:t>ninth year following the first property tax year in which an applicable piece of economic development property is placed in service.  A sponsor may apply to the county prior to the termination date for an extension of the termination date beyond the twenty</w:t>
      </w:r>
      <w:r w:rsidRPr="004C429D">
        <w:rPr>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4C429D">
        <w:rPr>
          <w:u w:val="single" w:color="000000" w:themeColor="text1"/>
        </w:rPr>
        <w:t>With respect to a fee agreement involving an enhanced investment, the termination date is the last day of a property tax year that is no later than the thirty</w:t>
      </w:r>
      <w:r w:rsidRPr="004C429D">
        <w:rPr>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4C429D">
        <w:rPr>
          <w:u w:val="single" w:color="000000" w:themeColor="text1"/>
        </w:rPr>
        <w:noBreakHyphen/>
        <w:t>ninth year up to ten years.</w:t>
      </w:r>
      <w:r w:rsidRPr="004C429D">
        <w:rPr>
          <w:u w:color="000000" w:themeColor="text1"/>
        </w:rPr>
        <w:t xml:space="preserve">  If the </w:t>
      </w:r>
      <w:r w:rsidRPr="004C429D">
        <w:rPr>
          <w:u w:color="000000" w:themeColor="text1"/>
        </w:rPr>
        <w:lastRenderedPageBreak/>
        <w:t>fee agreement is terminated in accordance with Section 12</w:t>
      </w:r>
      <w:r w:rsidRPr="004C429D">
        <w:rPr>
          <w:u w:color="000000" w:themeColor="text1"/>
        </w:rPr>
        <w:noBreakHyphen/>
        <w:t>44</w:t>
      </w:r>
      <w:r w:rsidRPr="004C429D">
        <w:rPr>
          <w:u w:color="000000" w:themeColor="text1"/>
        </w:rPr>
        <w:noBreakHyphen/>
        <w:t>140, the termination date is the date the agreement is terminated.”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4</w:t>
      </w:r>
      <w:r w:rsidRPr="004C429D">
        <w:rPr>
          <w:u w:color="000000" w:themeColor="text1"/>
        </w:rPr>
        <w:t>.</w:t>
      </w:r>
      <w:r w:rsidRPr="004C429D">
        <w:rPr>
          <w:u w:color="000000" w:themeColor="text1"/>
        </w:rPr>
        <w:tab/>
        <w:t>Section 4</w:t>
      </w:r>
      <w:r w:rsidRPr="004C429D">
        <w:rPr>
          <w:u w:color="000000" w:themeColor="text1"/>
        </w:rPr>
        <w:noBreakHyphen/>
        <w:t>12</w:t>
      </w:r>
      <w:r w:rsidRPr="004C429D">
        <w:rPr>
          <w:u w:color="000000" w:themeColor="text1"/>
        </w:rPr>
        <w:noBreakHyphen/>
        <w:t>30(O) of the 1976 Code, as last amended by Act 69 of 2003, is amended by adding an appropriately numbered subitem at the end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  )</w:t>
      </w:r>
      <w:r w:rsidRPr="004C429D">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5</w:t>
      </w:r>
      <w:r w:rsidRPr="004C429D">
        <w:rPr>
          <w:u w:color="000000" w:themeColor="text1"/>
        </w:rPr>
        <w:t>.</w:t>
      </w:r>
      <w:r w:rsidRPr="004C429D">
        <w:rPr>
          <w:u w:color="000000" w:themeColor="text1"/>
        </w:rPr>
        <w:tab/>
        <w:t>Section 4</w:t>
      </w:r>
      <w:r w:rsidRPr="004C429D">
        <w:rPr>
          <w:u w:color="000000" w:themeColor="text1"/>
        </w:rPr>
        <w:noBreakHyphen/>
        <w:t>29</w:t>
      </w:r>
      <w:r w:rsidRPr="004C429D">
        <w:rPr>
          <w:u w:color="000000" w:themeColor="text1"/>
        </w:rPr>
        <w:noBreakHyphen/>
        <w:t>67(S) of the 1976 Code, as last amended by Act 290 of 2010, is further amended by adding an appropriately numbered subitem at the end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  )</w:t>
      </w:r>
      <w:r w:rsidRPr="004C429D">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6</w:t>
      </w:r>
      <w:r w:rsidRPr="004C429D">
        <w:rPr>
          <w:u w:color="000000" w:themeColor="text1"/>
        </w:rPr>
        <w:t>.</w:t>
      </w:r>
      <w:r w:rsidRPr="004C429D">
        <w:rPr>
          <w:u w:color="000000" w:themeColor="text1"/>
        </w:rPr>
        <w:tab/>
        <w:t>Section 12</w:t>
      </w:r>
      <w:r w:rsidRPr="004C429D">
        <w:rPr>
          <w:u w:color="000000" w:themeColor="text1"/>
        </w:rPr>
        <w:noBreakHyphen/>
        <w:t>44</w:t>
      </w:r>
      <w:r w:rsidRPr="004C429D">
        <w:rPr>
          <w:u w:color="000000" w:themeColor="text1"/>
        </w:rPr>
        <w:noBreakHyphen/>
        <w:t>90 of the 1976 Code, as last amended by Act 69 of 2003, is further amended by adding an appropriately numbered subsection at the end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  )</w:t>
      </w:r>
      <w:r w:rsidRPr="004C429D">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r w:rsidRPr="004C429D">
        <w:rPr>
          <w:u w:color="000000" w:themeColor="text1"/>
        </w:rPr>
        <w:tab/>
      </w:r>
      <w:r w:rsidRPr="004C429D">
        <w:rPr>
          <w:u w:color="000000" w:themeColor="text1"/>
        </w:rPr>
        <w:tab/>
      </w:r>
    </w:p>
    <w:p w:rsidR="002C2E53"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4C429D">
        <w:rPr>
          <w:color w:val="auto"/>
          <w:u w:color="000000" w:themeColor="text1"/>
        </w:rPr>
        <w:t>SECTION</w:t>
      </w:r>
      <w:r w:rsidRPr="004C429D">
        <w:rPr>
          <w:color w:val="auto"/>
          <w:u w:color="000000" w:themeColor="text1"/>
        </w:rPr>
        <w:tab/>
      </w:r>
      <w:r w:rsidR="006D2B0A">
        <w:rPr>
          <w:color w:val="auto"/>
          <w:u w:color="000000" w:themeColor="text1"/>
        </w:rPr>
        <w:t>7</w:t>
      </w:r>
      <w:r w:rsidRPr="004C429D">
        <w:rPr>
          <w:color w:val="auto"/>
          <w:u w:color="000000" w:themeColor="text1"/>
        </w:rPr>
        <w:t>.</w:t>
      </w:r>
      <w:r w:rsidRPr="004C429D">
        <w:rPr>
          <w:color w:val="auto"/>
          <w:u w:color="000000" w:themeColor="text1"/>
        </w:rPr>
        <w:tab/>
        <w:t>Section 12</w:t>
      </w:r>
      <w:r w:rsidRPr="004C429D">
        <w:rPr>
          <w:color w:val="auto"/>
          <w:u w:color="000000" w:themeColor="text1"/>
        </w:rPr>
        <w:noBreakHyphen/>
        <w:t>36</w:t>
      </w:r>
      <w:r w:rsidRPr="004C429D">
        <w:rPr>
          <w:color w:val="auto"/>
          <w:u w:color="000000" w:themeColor="text1"/>
        </w:rPr>
        <w:noBreakHyphen/>
        <w:t>2120 of the 1976 Code, as last amended by Act 32 of 2011, is further amended by adding an appropriately numbered subsection at the end to read:</w:t>
      </w:r>
    </w:p>
    <w:p w:rsidR="002C2E53"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  )(A)(1)</w:t>
      </w:r>
      <w:r w:rsidRPr="004C429D">
        <w:rPr>
          <w:color w:val="auto"/>
        </w:rPr>
        <w:tab/>
        <w:t>original or replacement computers, computer equipment, and computer hardware and software purchases used within a datacenter;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lastRenderedPageBreak/>
        <w:tab/>
      </w:r>
      <w:r w:rsidRPr="004C429D">
        <w:rPr>
          <w:color w:val="auto"/>
        </w:rPr>
        <w:tab/>
        <w:t>(2)</w:t>
      </w:r>
      <w:r w:rsidRPr="004C429D">
        <w:rPr>
          <w:color w:val="auto"/>
        </w:rPr>
        <w:tab/>
        <w:t>electricity used by a datacenter and eligible business property to be located and used at the datacenter.  This 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(B)</w:t>
      </w:r>
      <w:r w:rsidRPr="004C429D">
        <w:rPr>
          <w:color w:val="auto"/>
        </w:rPr>
        <w:tab/>
        <w:t>As used in this section:</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(1)</w:t>
      </w:r>
      <w:r w:rsidRPr="004C429D">
        <w:rPr>
          <w:color w:val="auto"/>
        </w:rPr>
        <w:tab/>
        <w:t xml:space="preserve">‘Computer’ means an electronic device that accepts information in digital or similar form and manipulates it for a result based on a sequence of instructions.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 xml:space="preserve">‘Computer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(3)</w:t>
      </w:r>
      <w:r w:rsidRPr="004C429D">
        <w:rPr>
          <w:color w:val="auto"/>
        </w:rPr>
        <w:tab/>
        <w:t xml:space="preserve">‘Computer software’ means a set of coded instructions designed to cause a computer or automatic data processing equipment to perform a task.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(4)</w:t>
      </w:r>
      <w:r w:rsidRPr="004C429D">
        <w:rPr>
          <w:color w:val="auto"/>
        </w:rPr>
        <w:tab/>
        <w:t xml:space="preserve">‘Concurrently maintainable’ means capable of having any capacity component or distribution element serviced or repaired on a planned basis without interrupting or impeding the performance of the computer equipment.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(5)</w:t>
      </w:r>
      <w:r w:rsidRPr="004C429D">
        <w:rPr>
          <w:color w:val="auto"/>
        </w:rPr>
        <w:tab/>
        <w:t xml:space="preserve">‘Datacenter’ means a new or existing facility at a single location in South Carolina: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w:t>
      </w:r>
      <w:r w:rsidRPr="004C429D">
        <w:rPr>
          <w:color w:val="auto"/>
        </w:rPr>
        <w:tab/>
      </w:r>
      <w:r w:rsidRPr="004C429D">
        <w:rPr>
          <w:color w:val="auto"/>
        </w:rPr>
        <w:tab/>
        <w:t xml:space="preserve">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w:t>
      </w:r>
      <w:r w:rsidRPr="004C429D">
        <w:rPr>
          <w:color w:val="auto"/>
        </w:rPr>
        <w:lastRenderedPageBreak/>
        <w:t>equipment, a single distribution path may serve the computer equipment at any one time;</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(ii)(a)</w:t>
      </w:r>
      <w:r w:rsidRPr="004C429D">
        <w:rPr>
          <w:color w:val="auto"/>
        </w:rPr>
        <w:tab/>
        <w:t>where a taxpayer invests at least fifty million dollars in real or personal property or both over a five year period; or</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r>
      <w:r w:rsidRPr="004C429D">
        <w:rPr>
          <w:color w:val="auto"/>
        </w:rPr>
        <w:tab/>
        <w:t>(b)</w:t>
      </w:r>
      <w:r w:rsidRPr="004C429D">
        <w:rPr>
          <w:color w:val="auto"/>
        </w:rPr>
        <w:tab/>
        <w:t>where one or more taxpayers invests a minimum aggregate capital investment of at least seventy</w:t>
      </w:r>
      <w:r w:rsidRPr="004C429D">
        <w:rPr>
          <w:color w:val="auto"/>
        </w:rPr>
        <w:noBreakHyphen/>
        <w:t>five million dollars in real or personal property or both over a five year period;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(iii)</w:t>
      </w:r>
      <w:r w:rsidRPr="004C429D">
        <w:rPr>
          <w:color w:val="auto"/>
        </w:rPr>
        <w:tab/>
        <w:t>where a taxpayer creates and maintains at least twenty five full</w:t>
      </w:r>
      <w:r w:rsidRPr="004C429D">
        <w:rPr>
          <w:color w:val="auto"/>
        </w:rPr>
        <w:noBreakHyphen/>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(iv)</w:t>
      </w:r>
      <w:r w:rsidRPr="004C429D">
        <w:rPr>
          <w:color w:val="auto"/>
        </w:rPr>
        <w:tab/>
        <w:t>where the jobs created pursuant to subitem (iii) are maintained for three consecutive years after a facility with the minimum capital investment and number of jobs has been certified by the Department of Commerce;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(v)</w:t>
      </w:r>
      <w:r w:rsidRPr="004C429D">
        <w:rPr>
          <w:color w:val="auto"/>
        </w:rPr>
        <w:tab/>
        <w:t>which is certified by the Department of Commerce pursuant to subsection (D)(1)under such policies and procedures as promulgated by the Department of Commerce.</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(6)</w:t>
      </w:r>
      <w:r w:rsidRPr="004C429D">
        <w:rPr>
          <w:color w:val="auto"/>
        </w:rPr>
        <w:tab/>
        <w:t>‘Eligible business property’ means property used for the generation, transformation, transmission, distribution, or management of electricity, including exterior substations and other business personal property used for these purposes.</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(7)</w:t>
      </w:r>
      <w:r w:rsidRPr="004C429D">
        <w:rPr>
          <w:color w:val="auto"/>
        </w:rPr>
        <w:tab/>
        <w:t xml:space="preserve">‘Multiple distribution paths’ means a series of distribution paths configured to ensure that failure on one distribution path does not interrupt or impede other distribution paths.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(8)</w:t>
      </w:r>
      <w:r w:rsidRPr="004C429D">
        <w:rPr>
          <w:color w:val="auto"/>
        </w:rPr>
        <w:tab/>
        <w:t>‘Redundant capacity components’ means components beyond those required to support the computer equipment.</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(C)(1)</w:t>
      </w:r>
      <w:r w:rsidRPr="004C429D">
        <w:rPr>
          <w:color w:val="auto"/>
        </w:rPr>
        <w:tab/>
        <w:t>To qualify for the exemption allowed by this item, a taxpayer, and the facility in the case of a seventy</w:t>
      </w:r>
      <w:r w:rsidRPr="004C429D">
        <w:rPr>
          <w:color w:val="auto"/>
        </w:rPr>
        <w:noBreakHyphen/>
        <w:t>five million dollar investment made by more than one taxpayer, shall notify the Department of Revenue and Department of Commerce, in writing, of its intention to claim the exemption.  For purposes of meeting the requirements of subsection (B)(5)(ii) and (B)(5)(iii), capital investment and job creation begin accruing once the taxpayer notifies each department.  Also, the five</w:t>
      </w:r>
      <w:r w:rsidRPr="004C429D">
        <w:rPr>
          <w:color w:val="auto"/>
        </w:rPr>
        <w:noBreakHyphen/>
        <w:t>year period begins upon notification.</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Once the taxpayer meets the requirements of subsection (B)(5), or at the end of the five</w:t>
      </w:r>
      <w:r w:rsidRPr="004C429D">
        <w:rPr>
          <w:color w:val="auto"/>
        </w:rPr>
        <w:noBreakHyphen/>
        <w:t xml:space="preserve">year period, the taxpayer shall notify the Department of Revenue, in writing, whether it has or has </w:t>
      </w:r>
      <w:r w:rsidRPr="004C429D">
        <w:rPr>
          <w:color w:val="auto"/>
        </w:rPr>
        <w:lastRenderedPageBreak/>
        <w:t>not met the requirements of subsection (B)(5).  The taxpayer shall provide the proof the department determines necessary to determine that the requirements have been met.</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(D)(1)</w:t>
      </w:r>
      <w:r w:rsidRPr="004C429D">
        <w:rPr>
          <w:color w:val="auto"/>
        </w:rPr>
        <w:tab/>
        <w:t>Upon notifying each department of its intention to claim the exemption pursuant to subsection (C)(1), and upon certification by the Department of Commerce, the taxpayer may claim the exemption on eligible purchases at any time during the period provided in Section 125485(F), including the time period prior to subsection (B)(5)(iv) being satisfied.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For purposes of this section, the running of the periods of limitations for assessment of taxes provided in Section 125485 is suspended for:</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w:t>
      </w:r>
      <w:r w:rsidRPr="004C429D">
        <w:rPr>
          <w:color w:val="auto"/>
        </w:rPr>
        <w:tab/>
      </w:r>
      <w:r w:rsidRPr="004C429D">
        <w:rPr>
          <w:color w:val="auto"/>
        </w:rPr>
        <w:tab/>
        <w:t>the time period beginning with notice to each department pursuant to subsection (C)(1) and ending with notice to the Department of Revenue pursuant to subsection (C)(2);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w:t>
      </w:r>
      <w:r w:rsidRPr="004C429D">
        <w:rPr>
          <w:color w:val="auto"/>
        </w:rPr>
        <w:tab/>
        <w:t>during the three year job maintenance requirement pursuant to subsection (B)(5)(iv).</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(E)</w:t>
      </w:r>
      <w:r w:rsidRPr="004C429D">
        <w:rPr>
          <w:color w:val="auto"/>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(F)(1)</w:t>
      </w:r>
      <w:r w:rsidRPr="004C429D">
        <w:rPr>
          <w:color w:val="auto"/>
        </w:rPr>
        <w:tab/>
        <w:t>If a taxpayer receives the exemption for purchases but fails to meet the requirements of subsection (B)(5) at the end of the five</w:t>
      </w:r>
      <w:r w:rsidRPr="004C429D">
        <w:rPr>
          <w:color w:val="auto"/>
        </w:rPr>
        <w:noBreakHyphen/>
        <w:t>year period, the department may assess any state or local sales or use tax due on items purchased.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If a taxpayer meets the requirements of subsection (B)(5), but subsequently fails to maintain the number of full</w:t>
      </w:r>
      <w:r w:rsidRPr="004C429D">
        <w:rPr>
          <w:color w:val="auto"/>
        </w:rPr>
        <w:noBreakHyphen/>
        <w:t>time jobs with the required compensation level at the facility, as previously required pursuant to subsection (B)(5)(iii), the taxpayer is:</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w:t>
      </w:r>
      <w:r w:rsidRPr="004C429D">
        <w:rPr>
          <w:color w:val="auto"/>
        </w:rPr>
        <w:tab/>
      </w:r>
      <w:r w:rsidRPr="004C429D">
        <w:rPr>
          <w:color w:val="auto"/>
        </w:rPr>
        <w:tab/>
        <w:t>not allowed the exemption for items described in subsection (A)(1) until the taxpayer meets the previous qualifying jobs requirements pursuant to subsection (B)(5)(iii);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w:t>
      </w:r>
      <w:r w:rsidRPr="004C429D">
        <w:rPr>
          <w:color w:val="auto"/>
        </w:rPr>
        <w:tab/>
        <w:t>allowed the exemption for electricity pursuant to subsection (A)(2), but the exemption only applies to a percentage of the sale price, calculated by dividing the number of qualifying jobs by twenty</w:t>
      </w:r>
      <w:r w:rsidRPr="004C429D">
        <w:rPr>
          <w:color w:val="auto"/>
        </w:rPr>
        <w:noBreakHyphen/>
        <w:t>five.</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tab/>
        <w:t>(G)</w:t>
      </w:r>
      <w:r w:rsidRPr="004C429D">
        <w:tab/>
        <w:t xml:space="preserve">This item only applies to datacenter that is certified by the Department of Commerce pursuant to subsection (D)(1) prior to January 1, 2032.  However, this item shall continue to apply to a taxpayer that is certified by December 31, 2031, for an additional </w:t>
      </w:r>
      <w:r w:rsidRPr="004C429D">
        <w:lastRenderedPageBreak/>
        <w:t>ten year period.  Upon the end of the ten year period, this item is repealed.”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4C429D">
        <w:rPr>
          <w:u w:color="000000" w:themeColor="text1"/>
        </w:rPr>
        <w:t>SECTION</w:t>
      </w:r>
      <w:r w:rsidRPr="004C429D">
        <w:rPr>
          <w:u w:color="000000" w:themeColor="text1"/>
        </w:rPr>
        <w:tab/>
      </w:r>
      <w:r w:rsidR="006D2B0A">
        <w:rPr>
          <w:u w:color="000000" w:themeColor="text1"/>
        </w:rPr>
        <w:t>8</w:t>
      </w:r>
      <w:r w:rsidRPr="004C429D">
        <w:rPr>
          <w:u w:color="000000" w:themeColor="text1"/>
        </w:rPr>
        <w:t>.</w:t>
      </w:r>
      <w:r w:rsidRPr="004C42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4C429D">
        <w:rPr>
          <w:u w:color="000000" w:themeColor="text1"/>
        </w:rPr>
        <w:tab/>
      </w:r>
    </w:p>
    <w:p w:rsidR="002C2E53" w:rsidRDefault="002C2E53"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442">
        <w:rPr>
          <w:snapToGrid w:val="0"/>
        </w:rPr>
        <w:t>SECTION</w:t>
      </w:r>
      <w:r w:rsidRPr="00900442">
        <w:rPr>
          <w:snapToGrid w:val="0"/>
        </w:rPr>
        <w:tab/>
      </w:r>
      <w:r w:rsidR="003B58ED">
        <w:rPr>
          <w:snapToGrid w:val="0"/>
        </w:rPr>
        <w:t>9</w:t>
      </w:r>
      <w:r w:rsidRPr="00900442">
        <w:rPr>
          <w:snapToGrid w:val="0"/>
        </w:rPr>
        <w:t>.</w:t>
      </w:r>
      <w:r w:rsidRPr="00900442">
        <w:rPr>
          <w:snapToGrid w:val="0"/>
        </w:rPr>
        <w:tab/>
      </w:r>
      <w:r>
        <w:rPr>
          <w:snapToGrid w:val="0"/>
        </w:rPr>
        <w:t xml:space="preserve">This act takes effect upon the approval by the Governor. </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E0018D">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B0A" w:rsidRDefault="006D2B0A" w:rsidP="009F0C77">
      <w:r>
        <w:separator/>
      </w:r>
    </w:p>
  </w:endnote>
  <w:endnote w:type="continuationSeparator" w:id="0">
    <w:p w:rsidR="006D2B0A" w:rsidRDefault="006D2B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B393BB-C9F0-4BAE-9571-1A163F9272A8}"/>
    <w:embedBold r:id="rId2" w:fontKey="{818FA987-96CA-4517-82AF-BE6366DC7EAC}"/>
  </w:font>
  <w:font w:name="Calibri">
    <w:panose1 w:val="020F0502020204030204"/>
    <w:charset w:val="00"/>
    <w:family w:val="swiss"/>
    <w:pitch w:val="variable"/>
    <w:sig w:usb0="A00002EF" w:usb1="4000207B" w:usb2="00000000" w:usb3="00000000" w:csb0="0000009F" w:csb1="00000000"/>
    <w:embedRegular r:id="rId3" w:fontKey="{87DC1000-3F0C-4EFA-A9BB-12A30622E9BB}"/>
  </w:font>
  <w:font w:name="Tahoma">
    <w:panose1 w:val="020B0604030504040204"/>
    <w:charset w:val="00"/>
    <w:family w:val="swiss"/>
    <w:pitch w:val="variable"/>
    <w:sig w:usb0="61002A87" w:usb1="80000000" w:usb2="00000008" w:usb3="00000000" w:csb0="000101FF" w:csb1="00000000"/>
    <w:embedRegular r:id="rId4" w:fontKey="{AD4C88DB-7F39-4AE5-BAB8-DA2B7BE96D39}"/>
  </w:font>
  <w:font w:name="Arial">
    <w:panose1 w:val="020B0604020202020204"/>
    <w:charset w:val="00"/>
    <w:family w:val="swiss"/>
    <w:pitch w:val="variable"/>
    <w:sig w:usb0="20002A87" w:usb1="80000000" w:usb2="00000008" w:usb3="00000000" w:csb0="000001FF" w:csb1="00000000"/>
    <w:embedRegular r:id="rId5" w:fontKey="{B4D3A5BF-668B-40B3-82A9-BD2DCE05306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DE4A59AF-15B6-413C-A8C3-BD82F8DBF7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B0A" w:rsidRPr="00733810" w:rsidRDefault="006D2B0A" w:rsidP="00733810">
    <w:pPr>
      <w:pStyle w:val="Footer"/>
      <w:tabs>
        <w:tab w:val="clear" w:pos="4680"/>
        <w:tab w:val="clear" w:pos="9360"/>
        <w:tab w:val="center" w:pos="2995"/>
      </w:tabs>
      <w:spacing w:before="120"/>
    </w:pPr>
    <w:r>
      <w:t>[3720-</w:t>
    </w:r>
    <w:fldSimple w:instr=" PAGE  \* MERGEFORMAT ">
      <w:r w:rsidR="00E001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B0A" w:rsidRPr="00733810" w:rsidRDefault="006D2B0A" w:rsidP="00733810">
    <w:pPr>
      <w:pStyle w:val="Footer"/>
      <w:tabs>
        <w:tab w:val="clear" w:pos="4680"/>
        <w:tab w:val="clear" w:pos="9360"/>
        <w:tab w:val="center" w:pos="2995"/>
      </w:tabs>
      <w:spacing w:before="120"/>
    </w:pPr>
    <w:r>
      <w:t>[3720]</w:t>
    </w:r>
    <w:r>
      <w:tab/>
    </w:r>
    <w:fldSimple w:instr=" PAGE  \* MERGEFORMAT ">
      <w:r w:rsidR="00E001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B0A" w:rsidRDefault="006D2B0A" w:rsidP="009F0C77">
      <w:r>
        <w:separator/>
      </w:r>
    </w:p>
  </w:footnote>
  <w:footnote w:type="continuationSeparator" w:id="0">
    <w:p w:rsidR="006D2B0A" w:rsidRDefault="006D2B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16DA2"/>
    <w:rsid w:val="000779B8"/>
    <w:rsid w:val="000E1785"/>
    <w:rsid w:val="000F40FA"/>
    <w:rsid w:val="0010776B"/>
    <w:rsid w:val="00133E66"/>
    <w:rsid w:val="001435A3"/>
    <w:rsid w:val="001A126B"/>
    <w:rsid w:val="001D08F2"/>
    <w:rsid w:val="001D459B"/>
    <w:rsid w:val="001D525B"/>
    <w:rsid w:val="001D7F4F"/>
    <w:rsid w:val="00210A20"/>
    <w:rsid w:val="002321B6"/>
    <w:rsid w:val="00250967"/>
    <w:rsid w:val="002543C8"/>
    <w:rsid w:val="00284AAE"/>
    <w:rsid w:val="002C2E53"/>
    <w:rsid w:val="002E5912"/>
    <w:rsid w:val="00325348"/>
    <w:rsid w:val="0032732C"/>
    <w:rsid w:val="00336AD0"/>
    <w:rsid w:val="0037079A"/>
    <w:rsid w:val="00377160"/>
    <w:rsid w:val="00382D8C"/>
    <w:rsid w:val="003913C7"/>
    <w:rsid w:val="003B58ED"/>
    <w:rsid w:val="003D01E8"/>
    <w:rsid w:val="003E5288"/>
    <w:rsid w:val="003F6D79"/>
    <w:rsid w:val="0040161D"/>
    <w:rsid w:val="0041760A"/>
    <w:rsid w:val="00417C01"/>
    <w:rsid w:val="004809EE"/>
    <w:rsid w:val="004D6704"/>
    <w:rsid w:val="004E7D54"/>
    <w:rsid w:val="004F040E"/>
    <w:rsid w:val="005273C6"/>
    <w:rsid w:val="00530A69"/>
    <w:rsid w:val="00542B77"/>
    <w:rsid w:val="00545593"/>
    <w:rsid w:val="00577C6C"/>
    <w:rsid w:val="005C2FE2"/>
    <w:rsid w:val="005E2BC9"/>
    <w:rsid w:val="00605102"/>
    <w:rsid w:val="006068D9"/>
    <w:rsid w:val="006215AA"/>
    <w:rsid w:val="0065354D"/>
    <w:rsid w:val="00655A25"/>
    <w:rsid w:val="006913C9"/>
    <w:rsid w:val="0069470D"/>
    <w:rsid w:val="006D2B0A"/>
    <w:rsid w:val="00717EAB"/>
    <w:rsid w:val="00733810"/>
    <w:rsid w:val="00734F00"/>
    <w:rsid w:val="007A70AE"/>
    <w:rsid w:val="007B59A4"/>
    <w:rsid w:val="007B5B20"/>
    <w:rsid w:val="00804F32"/>
    <w:rsid w:val="0083151F"/>
    <w:rsid w:val="008362E8"/>
    <w:rsid w:val="008A1768"/>
    <w:rsid w:val="008E537E"/>
    <w:rsid w:val="008F4429"/>
    <w:rsid w:val="008F5737"/>
    <w:rsid w:val="00907679"/>
    <w:rsid w:val="00910404"/>
    <w:rsid w:val="0094021A"/>
    <w:rsid w:val="009C6A0B"/>
    <w:rsid w:val="009F0C77"/>
    <w:rsid w:val="009F4DD1"/>
    <w:rsid w:val="009F64C2"/>
    <w:rsid w:val="00A26105"/>
    <w:rsid w:val="00A41684"/>
    <w:rsid w:val="00A64E80"/>
    <w:rsid w:val="00A72BCD"/>
    <w:rsid w:val="00A741D9"/>
    <w:rsid w:val="00A833AB"/>
    <w:rsid w:val="00A9741D"/>
    <w:rsid w:val="00AB6EF0"/>
    <w:rsid w:val="00AD4B17"/>
    <w:rsid w:val="00AF24C4"/>
    <w:rsid w:val="00B31FDC"/>
    <w:rsid w:val="00B412D4"/>
    <w:rsid w:val="00B557DA"/>
    <w:rsid w:val="00BB55D2"/>
    <w:rsid w:val="00BC220C"/>
    <w:rsid w:val="00BE3C22"/>
    <w:rsid w:val="00C0345E"/>
    <w:rsid w:val="00C3483A"/>
    <w:rsid w:val="00C64856"/>
    <w:rsid w:val="00C74E9D"/>
    <w:rsid w:val="00C76D01"/>
    <w:rsid w:val="00C82FD3"/>
    <w:rsid w:val="00C92819"/>
    <w:rsid w:val="00C938EF"/>
    <w:rsid w:val="00CA00AC"/>
    <w:rsid w:val="00CC6B7B"/>
    <w:rsid w:val="00CD2089"/>
    <w:rsid w:val="00CD61D6"/>
    <w:rsid w:val="00D73A67"/>
    <w:rsid w:val="00D8435D"/>
    <w:rsid w:val="00D970A9"/>
    <w:rsid w:val="00DF3845"/>
    <w:rsid w:val="00E0018D"/>
    <w:rsid w:val="00E0778B"/>
    <w:rsid w:val="00E41911"/>
    <w:rsid w:val="00E92EEF"/>
    <w:rsid w:val="00F0533A"/>
    <w:rsid w:val="00F24442"/>
    <w:rsid w:val="00F309B8"/>
    <w:rsid w:val="00F50AE3"/>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 w:type="paragraph" w:customStyle="1" w:styleId="Body1">
    <w:name w:val="Body 1"/>
    <w:rsid w:val="002C2E53"/>
    <w:pPr>
      <w:spacing w:after="0" w:line="240" w:lineRule="auto"/>
      <w:jc w:val="both"/>
      <w:outlineLvl w:val="0"/>
    </w:pPr>
    <w:rPr>
      <w:rFonts w:eastAsia="Arial Unicode MS" w:cs="Times New Roman"/>
      <w:color w:val="000000"/>
      <w:szCs w:val="20"/>
      <w:u w:color="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E9C3C-1936-4D43-8E6D-0A43E86DC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3170</Words>
  <Characters>18072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2012-05-02T22:04:00Z</cp:lastPrinted>
  <dcterms:created xsi:type="dcterms:W3CDTF">2012-05-29T16:21:00Z</dcterms:created>
  <dcterms:modified xsi:type="dcterms:W3CDTF">2012-05-29T16:21:00Z</dcterms:modified>
</cp:coreProperties>
</file>