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3F5" w:rsidRP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415" w:rsidRDefault="008B1415" w:rsidP="005653F5">
      <w:pPr>
        <w:tabs>
          <w:tab w:val="right" w:pos="5933"/>
        </w:tabs>
        <w:suppressAutoHyphens/>
      </w:pPr>
      <w:r>
        <w:t>CONFERENCE COMMITTEE REPORT ADOPTED -- NOT PRINTED</w:t>
      </w:r>
    </w:p>
    <w:p w:rsidR="008B1415" w:rsidRDefault="008B1415" w:rsidP="005653F5">
      <w:pPr>
        <w:tabs>
          <w:tab w:val="right" w:pos="5933"/>
        </w:tabs>
        <w:suppressAutoHyphens/>
      </w:pPr>
      <w:r>
        <w:t>June 19, 2012</w:t>
      </w:r>
    </w:p>
    <w:p w:rsidR="008B1415" w:rsidRDefault="008B1415" w:rsidP="005653F5">
      <w:pPr>
        <w:tabs>
          <w:tab w:val="right" w:pos="5933"/>
        </w:tabs>
        <w:suppressAutoHyphens/>
      </w:pPr>
    </w:p>
    <w:p w:rsidR="005653F5" w:rsidRPr="005653F5" w:rsidRDefault="005653F5" w:rsidP="005653F5">
      <w:pPr>
        <w:tabs>
          <w:tab w:val="right" w:pos="5933"/>
        </w:tabs>
        <w:suppressAutoHyphens/>
      </w:pPr>
      <w:r>
        <w:tab/>
      </w:r>
      <w:r>
        <w:rPr>
          <w:b/>
          <w:sz w:val="36"/>
        </w:rPr>
        <w:t>H. 4008</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62625E" w:rsidP="00E417C4">
      <w:pPr>
        <w:tabs>
          <w:tab w:val="right" w:pos="5933"/>
        </w:tabs>
        <w:suppressAutoHyphens/>
      </w:pPr>
      <w:r>
        <w:t>S. Printed 6/6</w:t>
      </w:r>
      <w:r w:rsidR="005653F5">
        <w:t>/12--S.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2012.</w:t>
      </w:r>
    </w:p>
    <w:p w:rsidR="005653F5" w:rsidRPr="005653F5" w:rsidRDefault="005653F5"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8B1415"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Pr>
          <w:color w:val="000000" w:themeColor="text1"/>
          <w:u w:color="000000" w:themeColor="text1"/>
        </w:rPr>
        <w:t>SE</w:t>
      </w:r>
      <w:r w:rsidRPr="00D05B98">
        <w:rPr>
          <w:color w:val="000000" w:themeColor="text1"/>
          <w:u w:color="000000" w:themeColor="text1"/>
        </w:rPr>
        <w:t xml:space="preserve"> PROCEEDING</w:t>
      </w:r>
      <w:r>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w:t>
      </w:r>
      <w:r>
        <w:rPr>
          <w:color w:val="000000" w:themeColor="text1"/>
          <w:u w:color="000000" w:themeColor="text1"/>
        </w:rPr>
        <w:t>, INCLUDING THE PRIVILEGES REQUESTED OR APPROVED,</w:t>
      </w:r>
      <w:r w:rsidRPr="00D05B98">
        <w:rPr>
          <w:color w:val="000000" w:themeColor="text1"/>
          <w:u w:color="000000" w:themeColor="text1"/>
        </w:rPr>
        <w:t xml:space="preserve"> IS NOT CONFIDENTIAL</w:t>
      </w:r>
      <w:r>
        <w:rPr>
          <w:color w:val="000000" w:themeColor="text1"/>
          <w:u w:color="000000" w:themeColor="text1"/>
        </w:rPr>
        <w:t>,</w:t>
      </w:r>
      <w:r w:rsidRPr="00D05B98">
        <w:rPr>
          <w:color w:val="000000" w:themeColor="text1"/>
          <w:u w:color="000000" w:themeColor="text1"/>
        </w:rPr>
        <w:t xml:space="preserve"> THAT THE APPLICATION AND SUPPORTING DOCUMENTS ARE CONFIDENTIAL</w:t>
      </w:r>
      <w:r>
        <w:rPr>
          <w:color w:val="000000" w:themeColor="text1"/>
          <w:u w:color="000000" w:themeColor="text1"/>
        </w:rPr>
        <w:t>, AND THAT THE APPLICATION MAY BE OBTAINED FROM THE PHYSICIAN OR FROM THE PRACTICE WHERE THE PHYSICIAN WORKS; TO PROVIDE THAT A PRACTITIONER SUBJECT TO A DISCIPLINARY PROCEEDING MAY RECEIVE DATA, DOCUMENTS, RECORDS, AND INFORMATION RELATING TO THE PRACTITIONER, EVEN IF OTHERWISE CONFIDENTIAL, TO PROVIDE THAT RELEASE OF SUCH DATA, DOCUMENTS, RECORDS, AND INFORMATION IS NOT A WAIVER OF CONFIDENTIALITY, AND TO PROHIBIT DISCLOSURE BY THE PRACTITIONER TO THIRD PARTIES, OTHER THAN COUNSEL</w:t>
      </w:r>
      <w:r w:rsidRPr="00D05B98">
        <w:rPr>
          <w:color w:val="000000" w:themeColor="text1"/>
          <w:u w:color="000000" w:themeColor="text1"/>
        </w:rPr>
        <w:t xml:space="preserve">; TO PROVIDE </w:t>
      </w:r>
      <w:r w:rsidRPr="00D05B98">
        <w:rPr>
          <w:color w:val="000000" w:themeColor="text1"/>
          <w:u w:color="000000" w:themeColor="text1"/>
        </w:rPr>
        <w:lastRenderedPageBreak/>
        <w:t>THAT DISCLOSURE OF CERTAIN INFORMATION BY A HOSPITAL THROUGH REPORTS TO THE DEPARTMENT OF HEALTH AND ENVIRONMENTAL CONTROL, THE JOINT COMMISSION, THE BOARD OF MEDICAL EXAMINERS</w:t>
      </w:r>
      <w:r>
        <w:rPr>
          <w:color w:val="000000" w:themeColor="text1"/>
          <w:u w:color="000000" w:themeColor="text1"/>
        </w:rPr>
        <w:t>, OR THE NATIONAL PRACTITIONER DATA BANK</w:t>
      </w:r>
      <w:r w:rsidRPr="00D05B98">
        <w:rPr>
          <w:color w:val="000000" w:themeColor="text1"/>
          <w:u w:color="000000" w:themeColor="text1"/>
        </w:rPr>
        <w:t xml:space="preserve"> IS NOT A WAIVER OF A PRIVILEGE OR CONFIDENTIALITY;</w:t>
      </w:r>
      <w:r>
        <w:rPr>
          <w:color w:val="000000" w:themeColor="text1"/>
          <w:u w:color="000000" w:themeColor="text1"/>
        </w:rPr>
        <w:t xml:space="preserve"> AND TO PROVIDE THAT AN AFFECTED PERSON MAY FILE AN ACTION TO ASSERT A CLAIM OF CONFIDENTIALITY AND A MOTION TO ENJOIN THE HOSPITAL FROM RELEASING DATA, DOCUMENTS, RECORDS, OR INFORMATION TO THE DEPARTMENT, THE BOARD OF MEDICAL EXAMINERS, THE NATIONAL PRACTITIONER DATA BANK, OR THE JOINT COMMISSION THAT ARE NOT REQUIRED BY LAW TO BE RELEASED AND TO PROVIDE PROCEDURES TO FURTHER ADDRESS SUCH CLAIMS, INCLUDING AN AWARD OF ATTORNEYS FEES WHEN SUCH A CLAIM IS UNREASONABLY ASSERTED; BY ADDING SECTION 44-7-394 SO AS TO PROVIDE PROCEDURES WHEN A CLAIM OF CONFIDENTIALITY IS ASSERTED IN A JUDICIAL PROCEEDING, INCLUDING AN AWARD OF ATTORNEYS FEES WHEN SUCH A CLAIM IS UNREASONABLY ASSERTED; AND TO PROVIDE RESTRICTIONS ON AND PROCEDURES FOR OFFERING TESTIMONY IN A MEDICAL OR HOSPITAL MALPRACTICE CASE BY A PERSON WHO WAS A WITNESS TO THE CARE THAT IS THE SUBJECT OF THE MALPRACTICE CASE;  AND TO AMEND SECTION 40</w:t>
      </w:r>
      <w:r>
        <w:rPr>
          <w:color w:val="000000" w:themeColor="text1"/>
          <w:u w:color="000000" w:themeColor="text1"/>
        </w:rPr>
        <w:noBreakHyphen/>
        <w:t>71</w:t>
      </w:r>
      <w:r>
        <w:rPr>
          <w:color w:val="000000" w:themeColor="text1"/>
          <w:u w:color="000000" w:themeColor="text1"/>
        </w:rPr>
        <w:noBreakHyphen/>
        <w:t>10, RELATING TO IMMUNITY FROM LIABILITY FOR MEMBERS OF CERTAIN PROFESSIONAL SOCIETY STANDARDS COMMITTEES, HOSPITAL MEDICAL STAFF COMMITTEES, AND COMMITTEES APPOINTED BY THE DEPARTMENT OF HEALTH AND ENVIRONMENTAL CONTROL TO REVIEW PATIENT RECORDS, SO AS TO EXCLUDE FROM IMMUNITY MEMBERS OF A HOSPITAL MEDICAL STAFF COMMITTEE AND TO INCLUDE IMMUNITY FOR MEMBERS OF COMMITTEES APPOINTED BY THE DEPARTMENT OF MENTAL HEALTH TO STUDY PATIENT RECORDS</w:t>
      </w:r>
      <w:r w:rsidRPr="00D05B98">
        <w:rPr>
          <w:color w:val="000000" w:themeColor="text1"/>
          <w:u w:color="000000" w:themeColor="text1"/>
        </w:rPr>
        <w:t>.</w:t>
      </w:r>
      <w:r>
        <w:rPr>
          <w:color w:val="000000" w:themeColor="text1"/>
          <w:u w:color="000000" w:themeColor="text1"/>
        </w:rPr>
        <w:tab/>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SECTION</w:t>
      </w:r>
      <w:r>
        <w:tab/>
      </w:r>
      <w:r w:rsidRPr="009B19BE">
        <w:t>1.</w:t>
      </w:r>
      <w:r w:rsidRPr="009B19BE">
        <w:tab/>
        <w:t>Article 3, Chapter 7, Title 44 of the 1976 Code is amended by adding:</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“Section 44</w:t>
      </w:r>
      <w:r w:rsidRPr="009B19BE">
        <w:noBreakHyphen/>
        <w:t>7</w:t>
      </w:r>
      <w:r w:rsidRPr="009B19BE">
        <w:noBreakHyphen/>
        <w:t>390.</w:t>
      </w:r>
      <w:r>
        <w:t xml:space="preserve"> </w:t>
      </w:r>
      <w:r w:rsidRPr="009B19BE">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(1)</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(2)</w:t>
      </w:r>
      <w:r w:rsidRPr="009B19BE">
        <w:tab/>
        <w:t xml:space="preserve">investigations into the competence or conduct of hospital employees, agents, members of the hospital’s medical staff or </w:t>
      </w:r>
      <w:r>
        <w:t xml:space="preserve">other </w:t>
      </w:r>
      <w:r w:rsidRPr="009B19BE">
        <w:t>practitioners, relating to the quality of patient care, and any disciplinary proceedings or fair hearings related thereto, provided the medical staff operates pursuant to written bylaws that have been approved by the governing body of the hospital;</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(3)</w:t>
      </w:r>
      <w:r w:rsidRPr="009B19BE">
        <w:tab/>
        <w:t>quality assurance reviews;</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(4)</w:t>
      </w:r>
      <w:r w:rsidRPr="009B19BE">
        <w:tab/>
        <w:t xml:space="preserve">the medical staff credentialing process, provided the medical staff operates pursuant to written bylaws that have been approved by the governing body of the hospital;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(5)</w:t>
      </w:r>
      <w:r w:rsidRPr="009B19BE">
        <w:tab/>
        <w:t>reports by a hospital to its insurance carriers;</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(6)</w:t>
      </w:r>
      <w:r w:rsidRPr="009B19BE">
        <w:tab/>
        <w:t xml:space="preserve">reviews or investigations to evaluate the quality of care provided by hospital employees, agents, members of the hospital’s medical staff, or </w:t>
      </w:r>
      <w:r>
        <w:t xml:space="preserve">other </w:t>
      </w:r>
      <w:r w:rsidRPr="009B19BE">
        <w:t>practitioners; or</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(7)</w:t>
      </w:r>
      <w:r w:rsidRPr="009B19BE">
        <w:tab/>
        <w:t xml:space="preserve">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w:t>
      </w:r>
      <w:r>
        <w:t xml:space="preserve">other </w:t>
      </w:r>
      <w:r w:rsidRPr="009B19BE">
        <w:t>practitioners.</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392.</w:t>
      </w:r>
      <w:r>
        <w:tab/>
      </w:r>
      <w:r w:rsidRPr="009B19BE">
        <w:t>(A)(1)</w:t>
      </w:r>
      <w:r w:rsidRPr="009B19BE">
        <w:tab/>
        <w:t xml:space="preserve">All proceedings of, and all data, documents, records, and information prepared or acquired by, a hospital licensed under this article, its parent, subsidiaries, health care system, committees, whether permanent or ad hoc, including </w:t>
      </w:r>
      <w:r w:rsidRPr="009B19BE">
        <w:lastRenderedPageBreak/>
        <w:t xml:space="preserve">the hospital’s governing body, or physician practices owned by the hospital (its parent or subsidiaries), relating to the following are confidential: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(a)</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rsidRPr="009B19BE">
        <w:tab/>
        <w:t xml:space="preserve">investigations into the competence or conduct of hospital employees, agents, members of the hospital’s medical staff or </w:t>
      </w:r>
      <w:r>
        <w:t xml:space="preserve">other </w:t>
      </w:r>
      <w:r w:rsidRPr="009B19BE">
        <w:t>practitioners, relating to the quality of patient care, and any disciplinary proceedings or fair hearings related thereto;</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(c)</w:t>
      </w:r>
      <w:r w:rsidRPr="009B19BE">
        <w:tab/>
        <w:t>quality assurance reviews;</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(d)</w:t>
      </w:r>
      <w:r w:rsidRPr="009B19BE">
        <w:tab/>
        <w:t>the medical staff credentialing process;</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(e)</w:t>
      </w:r>
      <w:r w:rsidRPr="009B19BE">
        <w:tab/>
        <w:t>reports by a hospital to its insurance carriers;</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(f)</w:t>
      </w:r>
      <w:r w:rsidRPr="009B19BE">
        <w:tab/>
        <w:t xml:space="preserve">reviews or investigations to evaluate the quality of care provided by hospital employees, agents, members of the hospital’s medical staff, or </w:t>
      </w:r>
      <w:r>
        <w:t xml:space="preserve">other </w:t>
      </w:r>
      <w:r w:rsidRPr="009B19BE">
        <w:t>practitioners; or</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(g)</w:t>
      </w:r>
      <w:r w:rsidRPr="009B19BE">
        <w:tab/>
        <w:t xml:space="preserve">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w:t>
      </w:r>
      <w:r>
        <w:t>other p</w:t>
      </w:r>
      <w:r w:rsidRPr="009B19BE">
        <w:t>ractitioners; or</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(h)</w:t>
      </w:r>
      <w:r w:rsidRPr="009B19BE">
        <w:tab/>
        <w:t>incident or occurrence reports and related investigations, unless the report is part of the medical record.</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(2)</w:t>
      </w:r>
      <w:r w:rsidRPr="009B19BE">
        <w:tab/>
        <w:t>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w:t>
      </w:r>
      <w:r>
        <w:t>,</w:t>
      </w:r>
      <w:r w:rsidRPr="009B19BE">
        <w:t xml:space="preserve"> without consultation with the affected person</w:t>
      </w:r>
      <w:r>
        <w:t xml:space="preserve">, </w:t>
      </w:r>
      <w:r w:rsidRPr="009B19BE">
        <w:t xml:space="preserve">waive confidentiality in that civil action.  Likewise, if a hospital asserts a claim in any civil action against an affected person relating to any proceeding </w:t>
      </w:r>
      <w:r w:rsidRPr="009B19BE">
        <w:lastRenderedPageBreak/>
        <w:t xml:space="preserve">identified in subsection (A)(1) in which the affected person was a party, the affected person may use information in the affected person’s possession that is otherwise confidential under this section in that civil action.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(3)</w:t>
      </w:r>
      <w:r w:rsidRPr="009B19BE">
        <w:tab/>
        <w:t xml:space="preserve">Data, documents, records, or information which are otherwise available from original sources are not confidential and are not immune from discovery from the original source under this </w:t>
      </w:r>
      <w:r>
        <w:t>s</w:t>
      </w:r>
      <w:r w:rsidRPr="009B19BE">
        <w:t>ection or use in a civil action merely because they were acquired by the hospital.</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B19BE">
        <w:tab/>
      </w:r>
      <w:r w:rsidRPr="009B19BE">
        <w:tab/>
        <w:t>(4)</w:t>
      </w:r>
      <w:r w:rsidRPr="009B19BE">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(5)</w:t>
      </w:r>
      <w:r w:rsidRPr="009B19BE">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w:t>
      </w:r>
      <w:r>
        <w:t>section</w:t>
      </w:r>
      <w:r w:rsidRPr="009B19BE">
        <w:t xml:space="preserve">.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(6)</w:t>
      </w:r>
      <w:r w:rsidRPr="009B19BE">
        <w:tab/>
        <w:t xml:space="preserve">There is nothing in this </w:t>
      </w:r>
      <w:r>
        <w:t>section</w:t>
      </w:r>
      <w:r w:rsidRPr="009B19BE">
        <w:t xml:space="preserve"> which makes any part of a patient’s medical record confidential from the patient, including any redactions, corrections, supplements</w:t>
      </w:r>
      <w:r>
        <w:t>,</w:t>
      </w:r>
      <w:r w:rsidRPr="009B19BE">
        <w:t xml:space="preserve"> or amendments to the patient’s record, whether electronic or written.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 confidentiality provisions of subsection (A) do not prevent committees appointed by the Department of Health and </w:t>
      </w:r>
      <w:r w:rsidRPr="009B19BE">
        <w:lastRenderedPageBreak/>
        <w:t>Environmental Control from issuing reports containing solely non-identifying data and information.</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(D)</w:t>
      </w:r>
      <w:r w:rsidRPr="009B19BE">
        <w:tab/>
        <w:t xml:space="preserve">Any data, documents, records or information that is reported to or reviewed by </w:t>
      </w:r>
      <w:r>
        <w:t>t</w:t>
      </w:r>
      <w:r w:rsidRPr="009B19BE">
        <w:t xml:space="preserve">he </w:t>
      </w:r>
      <w:r>
        <w:t>j</w:t>
      </w:r>
      <w:r w:rsidRPr="009B19BE">
        <w:t xml:space="preserve">oint </w:t>
      </w:r>
      <w:r>
        <w:t>c</w:t>
      </w:r>
      <w:r w:rsidRPr="009B19BE">
        <w:t xml:space="preserve">ommission or other accrediting bodies must not be considered a waiver of any privilege or confidentiality provided for in subsection (A).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(E)</w:t>
      </w:r>
      <w:r w:rsidRPr="009B19BE">
        <w:tab/>
        <w:t>Any data, documents, records, or information of an action by a hospital to suspend, revoke, or otherwise limit the medical staff membership or clinical privileges of a practitioner that is submitted to the South Carolina Board of Medical Examiners pursuant to a report required by Section 44</w:t>
      </w:r>
      <w:r w:rsidRPr="009B19BE">
        <w:noBreakHyphen/>
        <w:t>7</w:t>
      </w:r>
      <w:r w:rsidRPr="009B19BE">
        <w:noBreakHyphen/>
        <w:t>70 or the National Practitioner Data Bank must not be considered a waiver of any privilege or confidentiality provided for in subsection (A).</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w:t>
      </w:r>
      <w:r w:rsidRPr="009B19BE">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w:t>
      </w:r>
      <w:r>
        <w:t>t</w:t>
      </w:r>
      <w:r w:rsidRPr="009B19BE">
        <w:t xml:space="preserve">he </w:t>
      </w:r>
      <w:r>
        <w:t>j</w:t>
      </w:r>
      <w:r w:rsidRPr="009B19BE">
        <w:t xml:space="preserve">oint </w:t>
      </w:r>
      <w:r>
        <w:t>c</w:t>
      </w:r>
      <w:r w:rsidRPr="009B19BE">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(G)</w:t>
      </w:r>
      <w:r w:rsidRPr="009B19BE">
        <w:tab/>
        <w:t xml:space="preserve">For purposes of this </w:t>
      </w:r>
      <w:r>
        <w:t>section</w:t>
      </w:r>
      <w:r w:rsidRPr="009B19BE">
        <w:t>,  an ‘affected person’ means a person, other than a patient, who is a subject of a proceeding enumerated in subsection (A)(1).</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394.</w:t>
      </w:r>
      <w:r>
        <w:tab/>
        <w:t>(A)</w:t>
      </w:r>
      <w:r w:rsidRPr="009B19BE">
        <w:tab/>
        <w:t>If a hospital or affected person asserts a claim of confidentiality over documents pursuant to Section 44</w:t>
      </w:r>
      <w:r w:rsidRPr="009B19BE">
        <w:noBreakHyphen/>
        <w:t>7</w:t>
      </w:r>
      <w:r w:rsidRPr="009B19BE">
        <w:noBreakHyphen/>
        <w:t xml:space="preserve">392 and the party seeking the documents objects, then upon motion to the court having jurisdiction over the pending action the court shall </w:t>
      </w:r>
      <w:r>
        <w:t xml:space="preserve">review the documents under seal to </w:t>
      </w:r>
      <w:r w:rsidRPr="009B19BE">
        <w:t xml:space="preserve">determine if any of the documents are subject to discovery. The court may order production of the documents to the requesting party. If the court </w:t>
      </w:r>
      <w:r w:rsidRPr="009B19BE">
        <w:lastRenderedPageBreak/>
        <w:t xml:space="preserve">finds that a hospital or affected person acted unreasonably in unsuccessfully asserting the claim of confidentiality, the court may assess attorney’s fees against that party for any fees incurred by the requesting party in obtaining the documents.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Further, a party to a medical or hospital malpractice case shall not offer testimony of a person who was a witness to the medical or hospital care that is the subject of the medical or hospital malpractice case if the</w:t>
      </w:r>
      <w:r>
        <w:t xml:space="preserve">ir </w:t>
      </w:r>
      <w:r w:rsidRPr="009B19BE">
        <w:t>testimony would be inconsistent with a prior written, electronic, video</w:t>
      </w:r>
      <w:r>
        <w:t>,</w:t>
      </w:r>
      <w:r w:rsidRPr="009B19BE">
        <w:t xml:space="preserve">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w:t>
      </w:r>
      <w:r>
        <w:t>,</w:t>
      </w:r>
      <w:r w:rsidRPr="009B19BE">
        <w:t xml:space="preserve"> or audio statements of fact  relating to the medical or hospital care that is the subject of the medical or hospital malpractice case that were given by a witness who is </w:t>
      </w:r>
      <w:r>
        <w:t xml:space="preserve">identified in discovery and may testify </w:t>
      </w:r>
      <w:r w:rsidRPr="009B19BE">
        <w:t>at trial.  Upon motion of any party, a prior statement of fact, whether written, electronic, video</w:t>
      </w:r>
      <w:r>
        <w:t>,</w:t>
      </w:r>
      <w:r w:rsidRPr="009B19BE">
        <w:t xml:space="preserve"> or audio, that is confidential under Section 44-7-392, may be reviewed by the court in camera to determine whether the prior statement of fact is inconsistent with the trial testimony offered in the medical or hospital malpractice case.  If the court concludes that the prior statement of fact is inconsistent, the court </w:t>
      </w:r>
      <w:r>
        <w:t>shall</w:t>
      </w:r>
      <w:r w:rsidRPr="009B19BE">
        <w:t xml:space="preserve"> order that the prior written statement of fact be produced to the moving party.  </w:t>
      </w:r>
    </w:p>
    <w:p w:rsidR="008B1415" w:rsidRPr="009B19B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For purposes of this section an ‘affected person’ means a person, other than a patient, who is a subject of a proceeding enumerated in Section 44</w:t>
      </w:r>
      <w:r w:rsidRPr="009B19BE">
        <w:noBreakHyphen/>
        <w:t>7</w:t>
      </w:r>
      <w:r w:rsidRPr="009B19BE">
        <w:noBreakHyphen/>
        <w:t>392(A)(1).</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 xml:space="preserve">If the court orders a hospital or affected person to produce documents to a third party under this </w:t>
      </w:r>
      <w:r>
        <w:t>S</w:t>
      </w:r>
      <w:r w:rsidRPr="009B19BE">
        <w:t>ection, the hospital or affected person shall have the right to immediately appeal that order, and the filing of the appeal shall stay the enforcement of the order compelling the production.”</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SECTION 2.</w:t>
      </w:r>
      <w:r w:rsidRPr="009B19BE">
        <w:tab/>
        <w:t>Section 40</w:t>
      </w:r>
      <w:r w:rsidRPr="009B19BE">
        <w:noBreakHyphen/>
        <w:t>71</w:t>
      </w:r>
      <w:r w:rsidRPr="009B19BE">
        <w:noBreakHyphen/>
        <w:t>10(B) of the 1976 Code is amended to read:</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9B19BE">
        <w:rPr>
          <w:strike/>
        </w:rPr>
        <w:t xml:space="preserve">an appointed member of a committee of a medical staff of a licensed </w:t>
      </w:r>
      <w:r w:rsidRPr="009B19BE">
        <w:rPr>
          <w:strike/>
        </w:rPr>
        <w:lastRenderedPageBreak/>
        <w:t>hospital, provided the medical staff operates pursuant to written bylaws that have been approved by the governing board of the hospital, or</w:t>
      </w:r>
      <w:r w:rsidRPr="009B19BE">
        <w:t xml:space="preserve"> </w:t>
      </w:r>
      <w:r w:rsidRPr="009B19BE">
        <w:rPr>
          <w:u w:val="single"/>
        </w:rPr>
        <w:t>a committee appointed by the Department of Mental Health, or</w:t>
      </w:r>
      <w:r w:rsidRPr="009B19BE">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625E"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w:t>
      </w:r>
      <w:r w:rsidRPr="000823EC">
        <w:t xml:space="preserve"> effect upon approval by the Governor and appl</w:t>
      </w:r>
      <w:r>
        <w:t>y</w:t>
      </w:r>
      <w:r w:rsidRPr="000823EC">
        <w:t xml:space="preserve"> to any investigative action undertaken as provided herein where the underlying event giving rise to the investigation occurs </w:t>
      </w:r>
      <w:r>
        <w:t>on or after the effective date.</w:t>
      </w:r>
    </w:p>
    <w:p w:rsidR="008B1415" w:rsidRDefault="008B1415" w:rsidP="008B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415" w:rsidRDefault="008B1415" w:rsidP="008B1415">
      <w:pPr>
        <w:pStyle w:val="ConSign"/>
        <w:tabs>
          <w:tab w:val="clear" w:pos="216"/>
          <w:tab w:val="clear" w:pos="4680"/>
          <w:tab w:val="clear" w:pos="4896"/>
          <w:tab w:val="left" w:pos="187"/>
          <w:tab w:val="left" w:pos="3240"/>
          <w:tab w:val="left" w:pos="3427"/>
        </w:tabs>
        <w:spacing w:line="240" w:lineRule="auto"/>
      </w:pPr>
      <w:r>
        <w:t>/s/Sen. Harvey S. Peeler, Jr.</w:t>
      </w:r>
      <w:r>
        <w:tab/>
        <w:t xml:space="preserve">/s/Rep. James H. Harrison </w:t>
      </w:r>
    </w:p>
    <w:p w:rsidR="008B1415" w:rsidRDefault="008B1415" w:rsidP="008B1415">
      <w:pPr>
        <w:pStyle w:val="ConSign"/>
        <w:tabs>
          <w:tab w:val="clear" w:pos="216"/>
          <w:tab w:val="clear" w:pos="4680"/>
          <w:tab w:val="clear" w:pos="4896"/>
          <w:tab w:val="left" w:pos="187"/>
          <w:tab w:val="left" w:pos="3240"/>
          <w:tab w:val="left" w:pos="3427"/>
        </w:tabs>
        <w:spacing w:line="240" w:lineRule="auto"/>
      </w:pPr>
      <w:r>
        <w:t>/s/Sen. Raymond E. Cleary III</w:t>
      </w:r>
      <w:r>
        <w:tab/>
        <w:t>/s/Rep. F.G. Delleney, Jr.</w:t>
      </w:r>
    </w:p>
    <w:p w:rsidR="008B1415" w:rsidRDefault="008B1415" w:rsidP="008B1415">
      <w:pPr>
        <w:pStyle w:val="ConSign"/>
        <w:tabs>
          <w:tab w:val="clear" w:pos="216"/>
          <w:tab w:val="clear" w:pos="4680"/>
          <w:tab w:val="clear" w:pos="4896"/>
          <w:tab w:val="left" w:pos="187"/>
          <w:tab w:val="left" w:pos="3240"/>
          <w:tab w:val="left" w:pos="3427"/>
        </w:tabs>
        <w:spacing w:line="240" w:lineRule="auto"/>
      </w:pPr>
      <w:r>
        <w:t>/s/Sen. Joel Lourie</w:t>
      </w:r>
      <w:r>
        <w:tab/>
        <w:t>/s/Rep. Eric M. Bedingfield</w:t>
      </w:r>
    </w:p>
    <w:p w:rsidR="008B1415" w:rsidRDefault="008B1415" w:rsidP="008B1415">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251D7" w:rsidRDefault="00060A33" w:rsidP="00AD2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415" w:rsidRDefault="008B1415" w:rsidP="009F0C77">
      <w:r>
        <w:separator/>
      </w:r>
    </w:p>
  </w:endnote>
  <w:endnote w:type="continuationSeparator" w:id="0">
    <w:p w:rsidR="008B1415" w:rsidRDefault="008B14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803461-083E-412B-A5F3-5B7E86D0B6B8}"/>
    <w:embedBold r:id="rId2" w:fontKey="{F4868850-0957-45B1-8EA5-E20D476602E1}"/>
  </w:font>
  <w:font w:name="Calibri">
    <w:panose1 w:val="020F0502020204030204"/>
    <w:charset w:val="00"/>
    <w:family w:val="swiss"/>
    <w:pitch w:val="variable"/>
    <w:sig w:usb0="A00002EF" w:usb1="4000207B" w:usb2="00000000" w:usb3="00000000" w:csb0="0000009F" w:csb1="00000000"/>
    <w:embedRegular r:id="rId3" w:fontKey="{63DA0599-E91E-405F-A0C1-48D582073B33}"/>
  </w:font>
  <w:font w:name="Tahoma">
    <w:panose1 w:val="020B0604030504040204"/>
    <w:charset w:val="00"/>
    <w:family w:val="swiss"/>
    <w:pitch w:val="variable"/>
    <w:sig w:usb0="61002A87" w:usb1="80000000" w:usb2="00000008" w:usb3="00000000" w:csb0="000101FF" w:csb1="00000000"/>
    <w:embedRegular r:id="rId4" w:fontKey="{873B2674-7067-4776-995F-19659F143A8C}"/>
  </w:font>
  <w:font w:name="Cambria">
    <w:panose1 w:val="02040503050406030204"/>
    <w:charset w:val="00"/>
    <w:family w:val="roman"/>
    <w:pitch w:val="variable"/>
    <w:sig w:usb0="A00002EF" w:usb1="4000004B" w:usb2="00000000" w:usb3="00000000" w:csb0="0000009F" w:csb1="00000000"/>
    <w:embedRegular r:id="rId5" w:fontKey="{D833745E-ECA6-4C9A-9000-64455E8AD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415" w:rsidRPr="00E251D7" w:rsidRDefault="008B1415" w:rsidP="00E251D7">
    <w:pPr>
      <w:pStyle w:val="Footer"/>
      <w:tabs>
        <w:tab w:val="clear" w:pos="4680"/>
        <w:tab w:val="clear" w:pos="9360"/>
        <w:tab w:val="center" w:pos="2995"/>
      </w:tabs>
      <w:spacing w:before="120"/>
    </w:pPr>
    <w:r>
      <w:t>[4008-</w:t>
    </w:r>
    <w:fldSimple w:instr=" PAGE  \* MERGEFORMAT ">
      <w:r w:rsidR="00AD28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415" w:rsidRPr="00E251D7" w:rsidRDefault="008B1415" w:rsidP="00E251D7">
    <w:pPr>
      <w:pStyle w:val="Footer"/>
      <w:tabs>
        <w:tab w:val="clear" w:pos="4680"/>
        <w:tab w:val="clear" w:pos="9360"/>
        <w:tab w:val="center" w:pos="2995"/>
      </w:tabs>
      <w:spacing w:before="120"/>
    </w:pPr>
    <w:r>
      <w:t>[4008]</w:t>
    </w:r>
    <w:r>
      <w:tab/>
    </w:r>
    <w:fldSimple w:instr=" PAGE  \* MERGEFORMAT ">
      <w:r w:rsidR="00AD28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415" w:rsidRDefault="008B1415" w:rsidP="009F0C77">
      <w:r>
        <w:separator/>
      </w:r>
    </w:p>
  </w:footnote>
  <w:footnote w:type="continuationSeparator" w:id="0">
    <w:p w:rsidR="008B1415" w:rsidRDefault="008B14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40E93"/>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440EA"/>
    <w:rsid w:val="0037079A"/>
    <w:rsid w:val="003D01E8"/>
    <w:rsid w:val="003E5288"/>
    <w:rsid w:val="003F6D79"/>
    <w:rsid w:val="0041760A"/>
    <w:rsid w:val="00417C01"/>
    <w:rsid w:val="004809EE"/>
    <w:rsid w:val="004D1F07"/>
    <w:rsid w:val="004E0E0A"/>
    <w:rsid w:val="004E7D54"/>
    <w:rsid w:val="005033C1"/>
    <w:rsid w:val="005273C6"/>
    <w:rsid w:val="00530A69"/>
    <w:rsid w:val="00545593"/>
    <w:rsid w:val="005653F5"/>
    <w:rsid w:val="00570E7E"/>
    <w:rsid w:val="00577C6C"/>
    <w:rsid w:val="005C2FE2"/>
    <w:rsid w:val="005E2BC9"/>
    <w:rsid w:val="00605102"/>
    <w:rsid w:val="006215AA"/>
    <w:rsid w:val="0062625E"/>
    <w:rsid w:val="00645422"/>
    <w:rsid w:val="00687145"/>
    <w:rsid w:val="006913C9"/>
    <w:rsid w:val="0069470D"/>
    <w:rsid w:val="00734F00"/>
    <w:rsid w:val="007741A4"/>
    <w:rsid w:val="007947AD"/>
    <w:rsid w:val="007A70AE"/>
    <w:rsid w:val="007C24B3"/>
    <w:rsid w:val="00825DB1"/>
    <w:rsid w:val="008362E8"/>
    <w:rsid w:val="00880C35"/>
    <w:rsid w:val="00890E18"/>
    <w:rsid w:val="008A1768"/>
    <w:rsid w:val="008B1415"/>
    <w:rsid w:val="008F4429"/>
    <w:rsid w:val="0094021A"/>
    <w:rsid w:val="00966425"/>
    <w:rsid w:val="009C6A0B"/>
    <w:rsid w:val="009F0C77"/>
    <w:rsid w:val="009F4DD1"/>
    <w:rsid w:val="00A41684"/>
    <w:rsid w:val="00A64E80"/>
    <w:rsid w:val="00A72BCD"/>
    <w:rsid w:val="00A741D9"/>
    <w:rsid w:val="00A833AB"/>
    <w:rsid w:val="00A9741D"/>
    <w:rsid w:val="00AD28EC"/>
    <w:rsid w:val="00AD4B17"/>
    <w:rsid w:val="00B129F0"/>
    <w:rsid w:val="00B412D4"/>
    <w:rsid w:val="00BE3C22"/>
    <w:rsid w:val="00C0345E"/>
    <w:rsid w:val="00C260F7"/>
    <w:rsid w:val="00C3483A"/>
    <w:rsid w:val="00C52877"/>
    <w:rsid w:val="00C74E9D"/>
    <w:rsid w:val="00C82FD3"/>
    <w:rsid w:val="00C91FAA"/>
    <w:rsid w:val="00C92819"/>
    <w:rsid w:val="00CC6B7B"/>
    <w:rsid w:val="00CD2089"/>
    <w:rsid w:val="00D52F6E"/>
    <w:rsid w:val="00D73A67"/>
    <w:rsid w:val="00D970A9"/>
    <w:rsid w:val="00DA47AA"/>
    <w:rsid w:val="00DF3845"/>
    <w:rsid w:val="00E10DAE"/>
    <w:rsid w:val="00E251D7"/>
    <w:rsid w:val="00E417C4"/>
    <w:rsid w:val="00E41911"/>
    <w:rsid w:val="00E92EEF"/>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 w:type="paragraph" w:customStyle="1" w:styleId="ConSign">
    <w:name w:val="ConSign"/>
    <w:basedOn w:val="Normal"/>
    <w:rsid w:val="008B1415"/>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31043-341B-4278-A53B-B1439624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2611</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2011-03-22T20:26:00Z</cp:lastPrinted>
  <dcterms:created xsi:type="dcterms:W3CDTF">2012-06-19T17:18:00Z</dcterms:created>
  <dcterms:modified xsi:type="dcterms:W3CDTF">2012-06-19T17:18:00Z</dcterms:modified>
</cp:coreProperties>
</file>