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CODE OF LAWS OF SOUTH CAROLINA, 1976, R</w:t>
      </w:r>
      <w:r w:rsidR="006658D5">
        <w:rPr>
          <w:color w:val="000000" w:themeColor="text1"/>
          <w:u w:color="000000" w:themeColor="text1"/>
        </w:rPr>
        <w:t>ELATING TO THE UNIFORM PRINCIPAL</w:t>
      </w:r>
      <w:r w:rsidRPr="00C01A67">
        <w:rPr>
          <w:color w:val="000000" w:themeColor="text1"/>
          <w:u w:color="000000" w:themeColor="text1"/>
        </w:rPr>
        <w:t xml:space="preserv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0C158A" w:rsidRPr="000C158A">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Payment</w:t>
      </w:r>
      <w:r w:rsidR="000C158A" w:rsidRPr="000C158A">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0C158A" w:rsidRPr="000C158A">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Separate fund</w:t>
      </w:r>
      <w:r w:rsidR="000C158A" w:rsidRPr="000C158A">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0C158A">
        <w:rPr>
          <w:color w:val="000000" w:themeColor="text1"/>
          <w:u w:color="000000" w:themeColor="text1"/>
        </w:rPr>
        <w:noBreakHyphen/>
      </w:r>
      <w:r w:rsidRPr="00C01A67">
        <w:rPr>
          <w:color w:val="000000" w:themeColor="text1"/>
          <w:u w:color="000000" w:themeColor="text1"/>
        </w:rPr>
        <w:t>sharing, stock</w:t>
      </w:r>
      <w:r w:rsidR="000C158A">
        <w:rPr>
          <w:color w:val="000000" w:themeColor="text1"/>
          <w:u w:color="000000" w:themeColor="text1"/>
        </w:rPr>
        <w:noBreakHyphen/>
      </w:r>
      <w:r w:rsidRPr="00C01A67">
        <w:rPr>
          <w:color w:val="000000" w:themeColor="text1"/>
          <w:u w:color="000000" w:themeColor="text1"/>
        </w:rPr>
        <w:t>bonus, or stock</w:t>
      </w:r>
      <w:r w:rsidR="000C158A">
        <w:rPr>
          <w:color w:val="000000" w:themeColor="text1"/>
          <w:u w:color="000000" w:themeColor="text1"/>
        </w:rPr>
        <w:noBreakHyphen/>
      </w:r>
      <w:r w:rsidRPr="00C01A67">
        <w:rPr>
          <w:color w:val="000000" w:themeColor="text1"/>
          <w:u w:color="000000" w:themeColor="text1"/>
        </w:rPr>
        <w:t xml:space="preserve">ownership plan.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0C158A" w:rsidRPr="000C158A">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0C158A" w:rsidRPr="000C158A">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9D1B12"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sidR="000C158A">
        <w:rPr>
          <w:color w:val="000000" w:themeColor="text1"/>
        </w:rPr>
        <w:noBreakHyphen/>
      </w:r>
      <w:r w:rsidRPr="00893BD1">
        <w:rPr>
          <w:color w:val="000000" w:themeColor="text1"/>
        </w:rPr>
        <w:t>26 said that, as written, Section 409 does not cause a trust to qualify for the IRS</w:t>
      </w:r>
      <w:r w:rsidR="000C158A" w:rsidRPr="000C158A">
        <w:rPr>
          <w:color w:val="000000" w:themeColor="text1"/>
        </w:rPr>
        <w:t>’</w:t>
      </w:r>
      <w:r w:rsidRPr="00893BD1">
        <w:rPr>
          <w:color w:val="000000" w:themeColor="text1"/>
        </w:rPr>
        <w:t xml:space="preserve"> safe harbors.  Revenue Ruling 2006</w:t>
      </w:r>
      <w:r w:rsidR="000C158A">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000C158A" w:rsidRPr="000C158A">
        <w:rPr>
          <w:color w:val="000000" w:themeColor="text1"/>
        </w:rPr>
        <w:t>’</w:t>
      </w:r>
      <w:r w:rsidRPr="00893BD1">
        <w:rPr>
          <w:color w:val="000000" w:themeColor="text1"/>
        </w:rPr>
        <w:t xml:space="preserve"> position in that ruling, the revision to this section is designed to satisfy the IRS</w:t>
      </w:r>
      <w:r w:rsidR="000C158A" w:rsidRPr="000C158A">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sidR="000C158A">
        <w:rPr>
          <w:color w:val="000000" w:themeColor="text1"/>
        </w:rPr>
        <w:noBreakHyphen/>
      </w:r>
      <w:r w:rsidRPr="00893BD1">
        <w:rPr>
          <w:color w:val="000000" w:themeColor="text1"/>
        </w:rPr>
        <w:t>26 requires that the surviving spouse be separately entitled to demand the fund</w:t>
      </w:r>
      <w:r w:rsidR="000C158A" w:rsidRPr="000C158A">
        <w:rPr>
          <w:color w:val="000000" w:themeColor="text1"/>
        </w:rPr>
        <w:t>’</w:t>
      </w:r>
      <w:r w:rsidRPr="00893BD1">
        <w:rPr>
          <w:color w:val="000000" w:themeColor="text1"/>
        </w:rPr>
        <w:t>s income (without regard to the income from the trust</w:t>
      </w:r>
      <w:r w:rsidR="000C158A" w:rsidRPr="000C158A">
        <w:rPr>
          <w:color w:val="000000" w:themeColor="text1"/>
        </w:rPr>
        <w:t>’</w:t>
      </w:r>
      <w:r w:rsidRPr="00893BD1">
        <w:rPr>
          <w:color w:val="000000" w:themeColor="text1"/>
        </w:rPr>
        <w:t>s other assets) and the income from the other assets (without regard to the fund</w:t>
      </w:r>
      <w:r w:rsidR="000C158A" w:rsidRPr="000C158A">
        <w:rPr>
          <w:color w:val="000000" w:themeColor="text1"/>
        </w:rPr>
        <w:t>’</w:t>
      </w:r>
      <w:r w:rsidRPr="00893BD1">
        <w:rPr>
          <w:color w:val="000000" w:themeColor="text1"/>
        </w:rPr>
        <w:t>s income).  In any event, the surviving spouse is not required to demand that the trustee distribute all of the fund</w:t>
      </w:r>
      <w:r w:rsidR="000C158A" w:rsidRPr="000C158A">
        <w:rPr>
          <w:color w:val="000000" w:themeColor="text1"/>
        </w:rPr>
        <w:t>’</w:t>
      </w:r>
      <w:r w:rsidRPr="00893BD1">
        <w:rPr>
          <w:color w:val="000000" w:themeColor="text1"/>
        </w:rPr>
        <w:t>s income from the fund or from other trust assets.  Treas. Reg. § 20.2056(b)</w:t>
      </w:r>
      <w:r w:rsidR="000C158A">
        <w:rPr>
          <w:color w:val="000000" w:themeColor="text1"/>
        </w:rPr>
        <w:noBreakHyphen/>
      </w:r>
      <w:r w:rsidRPr="00893BD1">
        <w:rPr>
          <w:color w:val="000000" w:themeColor="text1"/>
        </w:rPr>
        <w:t>5(f)(8).</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t>Subsection (F) also recognizes that the trustee might not control the payments that the trustee receives and provides a remedy to the surviving spouse if the distributions under subsection (d)(1) are insufficient.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000C158A" w:rsidRPr="000C158A">
        <w:rPr>
          <w:color w:val="000000" w:themeColor="text1"/>
        </w:rPr>
        <w:t>’</w:t>
      </w:r>
      <w:r w:rsidRPr="00893BD1">
        <w:rPr>
          <w:color w:val="000000" w:themeColor="text1"/>
        </w:rPr>
        <w:t>s administrator, the trustee is unable to determine the fund</w:t>
      </w:r>
      <w:r w:rsidR="000C158A" w:rsidRPr="000C158A">
        <w:rPr>
          <w:color w:val="000000" w:themeColor="text1"/>
        </w:rPr>
        <w:t>’</w:t>
      </w:r>
      <w:r w:rsidRPr="00893BD1">
        <w:rPr>
          <w:color w:val="000000" w:themeColor="text1"/>
        </w:rPr>
        <w:t>s actual income.  The bracketed language is the range approved for unitrust payments by Treas. Reg. § 1.643(b)</w:t>
      </w:r>
      <w:r w:rsidR="000C158A">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000C158A" w:rsidRPr="000C158A">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t>Section 63</w:t>
      </w:r>
      <w:r w:rsidR="000C158A">
        <w:rPr>
          <w:color w:val="000000" w:themeColor="text1"/>
        </w:rPr>
        <w:noBreakHyphen/>
      </w:r>
      <w:r>
        <w:rPr>
          <w:color w:val="000000" w:themeColor="text1"/>
        </w:rPr>
        <w:t>7</w:t>
      </w:r>
      <w:r w:rsidR="000C158A">
        <w:rPr>
          <w:color w:val="000000" w:themeColor="text1"/>
        </w:rPr>
        <w:noBreakHyphen/>
      </w:r>
      <w:r>
        <w:rPr>
          <w:color w:val="000000" w:themeColor="text1"/>
        </w:rPr>
        <w:t xml:space="preserve">918 of the 1976 Code, as amended in Subsection A of this section applies to a trust described in </w:t>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918(D) on and after the following dates: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000C158A" w:rsidRPr="000C158A">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000C158A" w:rsidRPr="000C158A">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5C405A" w:rsidRPr="009F511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000C158A" w:rsidRPr="000C158A">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E25795"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sidR="000C158A">
        <w:rPr>
          <w:color w:val="000000" w:themeColor="text1"/>
        </w:rPr>
        <w:noBreakHyphen/>
      </w:r>
      <w:r w:rsidRPr="00893BD1">
        <w:rPr>
          <w:color w:val="000000" w:themeColor="text1"/>
        </w:rPr>
        <w:t>through entity, such as a partnership or S corporation, it must report its share of the entity</w:t>
      </w:r>
      <w:r w:rsidR="000C158A" w:rsidRPr="000C158A">
        <w:rPr>
          <w:color w:val="000000" w:themeColor="text1"/>
        </w:rPr>
        <w:t>’</w:t>
      </w:r>
      <w:r w:rsidRPr="00893BD1">
        <w:rPr>
          <w:color w:val="000000" w:themeColor="text1"/>
        </w:rPr>
        <w:t>s taxable income regardless of how much the entity distributes to the trust. Whether the entity distributes more or less than the trust</w:t>
      </w:r>
      <w:r w:rsidR="000C158A" w:rsidRPr="000C158A">
        <w:rPr>
          <w:color w:val="000000" w:themeColor="text1"/>
        </w:rPr>
        <w:t>’</w:t>
      </w:r>
      <w:r w:rsidRPr="00893BD1">
        <w:rPr>
          <w:color w:val="000000" w:themeColor="text1"/>
        </w:rPr>
        <w:t>s tax on its share of the entity</w:t>
      </w:r>
      <w:r w:rsidR="000C158A" w:rsidRPr="000C158A">
        <w:rPr>
          <w:color w:val="000000" w:themeColor="text1"/>
        </w:rPr>
        <w:t>’</w:t>
      </w:r>
      <w:r w:rsidRPr="00893BD1">
        <w:rPr>
          <w:color w:val="000000" w:themeColor="text1"/>
        </w:rPr>
        <w:t>s taxable income, the trust must pay the taxes and allocate them between income and principal.</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000C158A" w:rsidRPr="000C158A">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000C158A" w:rsidRPr="000C158A">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000C158A" w:rsidRPr="000C158A">
        <w:rPr>
          <w:color w:val="000000" w:themeColor="text1"/>
        </w:rPr>
        <w:t>’</w:t>
      </w:r>
      <w:r w:rsidRPr="00893BD1">
        <w:rPr>
          <w:color w:val="000000" w:themeColor="text1"/>
        </w:rPr>
        <w:t>s taxes are reduced by distributing those receipts to the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000C158A" w:rsidRPr="000C158A">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0C158A" w:rsidRPr="000C158A">
        <w:rPr>
          <w:color w:val="000000" w:themeColor="text1"/>
        </w:rPr>
        <w:t>’</w:t>
      </w:r>
      <w:r w:rsidRPr="00893BD1">
        <w:rPr>
          <w:color w:val="000000" w:themeColor="text1"/>
        </w:rPr>
        <w:t>s taxable income as reduced by distributions to beneficiaries.</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sidR="000C158A">
        <w:rPr>
          <w:b/>
          <w:color w:val="000000" w:themeColor="text1"/>
        </w:rPr>
        <w:noBreakHyphen/>
      </w:r>
      <w:r w:rsidRPr="00893BD1">
        <w:rPr>
          <w:b/>
          <w:color w:val="000000" w:themeColor="text1"/>
        </w:rPr>
        <w:t xml:space="preserve"> </w:t>
      </w:r>
      <w:r w:rsidRPr="00893BD1">
        <w:rPr>
          <w:color w:val="000000" w:themeColor="text1"/>
        </w:rPr>
        <w:t>Trust T receives a Schedule K</w:t>
      </w:r>
      <w:r w:rsidR="000C158A">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sidR="000C158A">
        <w:rPr>
          <w:color w:val="000000" w:themeColor="text1"/>
        </w:rPr>
        <w:noBreakHyphen/>
      </w:r>
      <w:r w:rsidRPr="00893BD1">
        <w:rPr>
          <w:color w:val="000000" w:themeColor="text1"/>
        </w:rPr>
        <w:t xml:space="preserve"> Trust T receives a Schedule K</w:t>
      </w:r>
      <w:r w:rsidR="000C158A">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000C158A" w:rsidRPr="000C158A">
        <w:rPr>
          <w:color w:val="000000" w:themeColor="text1"/>
        </w:rPr>
        <w:t>’</w:t>
      </w:r>
      <w:r w:rsidRPr="00893BD1">
        <w:rPr>
          <w:color w:val="000000" w:themeColor="text1"/>
        </w:rPr>
        <w:t>s taxes by $52,500, which it must pay to B. But the $52,500 further reduces T</w:t>
      </w:r>
      <w:r w:rsidR="000C158A" w:rsidRPr="000C158A">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sidR="000C158A">
        <w:rPr>
          <w:color w:val="000000" w:themeColor="text1"/>
        </w:rPr>
        <w:noBreakHyphen/>
      </w:r>
      <w:r w:rsidRPr="00893BD1">
        <w:rPr>
          <w:color w:val="000000" w:themeColor="text1"/>
        </w:rPr>
        <w:t>R*K)/(1</w:t>
      </w:r>
      <w:r w:rsidR="000C158A">
        <w:rPr>
          <w:color w:val="000000" w:themeColor="text1"/>
        </w:rPr>
        <w:noBreakHyphen/>
      </w:r>
      <w:r w:rsidRPr="00893BD1">
        <w:rPr>
          <w:color w:val="000000" w:themeColor="text1"/>
        </w:rPr>
        <w:t>R)</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r>
      <w:r w:rsidRPr="00893BD1">
        <w:rPr>
          <w:color w:val="000000" w:themeColor="text1"/>
        </w:rPr>
        <w:tab/>
      </w:r>
      <w:r w:rsidRPr="00893BD1">
        <w:rPr>
          <w:color w:val="000000" w:themeColor="text1"/>
        </w:rPr>
        <w:tab/>
        <w:t>K = entity</w:t>
      </w:r>
      <w:r w:rsidR="000C158A" w:rsidRPr="000C158A">
        <w:rPr>
          <w:color w:val="000000" w:themeColor="text1"/>
        </w:rPr>
        <w:t>’</w:t>
      </w:r>
      <w:r w:rsidRPr="00893BD1">
        <w:rPr>
          <w:color w:val="000000" w:themeColor="text1"/>
        </w:rPr>
        <w:t>s K</w:t>
      </w:r>
      <w:r w:rsidR="000C158A">
        <w:rPr>
          <w:color w:val="000000" w:themeColor="text1"/>
        </w:rPr>
        <w:noBreakHyphen/>
      </w:r>
      <w:r w:rsidRPr="00893BD1">
        <w:rPr>
          <w:color w:val="000000" w:themeColor="text1"/>
        </w:rPr>
        <w:t>1 taxable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sidR="000C158A">
        <w:rPr>
          <w:color w:val="000000" w:themeColor="text1"/>
        </w:rPr>
        <w:noBreakHyphen/>
      </w:r>
      <w:r w:rsidRPr="00893BD1">
        <w:rPr>
          <w:color w:val="000000" w:themeColor="text1"/>
        </w:rPr>
        <w:t>1</w:t>
      </w:r>
      <w:r w:rsidRPr="00893BD1">
        <w:rPr>
          <w:color w:val="000000" w:themeColor="text1"/>
        </w:rPr>
        <w:tab/>
      </w:r>
      <w:r w:rsidRPr="00893BD1">
        <w:rPr>
          <w:color w:val="000000" w:themeColor="text1"/>
        </w:rPr>
        <w:tab/>
      </w:r>
      <w:r w:rsidRPr="00893BD1">
        <w:rPr>
          <w:color w:val="000000" w:themeColor="text1"/>
        </w:rPr>
        <w:tab/>
        <w:t>1,000,000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Pr="00893BD1">
        <w:rPr>
          <w:color w:val="000000" w:themeColor="text1"/>
        </w:rPr>
        <w:tab/>
        <w:t xml:space="preserve">    230,769 [1]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Pr="00893BD1">
        <w:rPr>
          <w:color w:val="000000" w:themeColor="text1"/>
        </w:rPr>
        <w:tab/>
        <w:t xml:space="preserve"> </w:t>
      </w:r>
      <w:r w:rsidRPr="00893BD1">
        <w:rPr>
          <w:color w:val="000000" w:themeColor="text1"/>
        </w:rPr>
        <w:tab/>
        <w:t xml:space="preserve">  $769,231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t xml:space="preserve">       269,231</w:t>
      </w:r>
      <w:r w:rsidRPr="00893BD1">
        <w:rPr>
          <w:color w:val="000000" w:themeColor="text1"/>
        </w:rPr>
        <w:tab/>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Pr="00893BD1">
        <w:rPr>
          <w:color w:val="000000" w:themeColor="text1"/>
        </w:rPr>
        <w:tab/>
        <w:t>$ 500,000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000C158A" w:rsidRPr="000C158A">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0C158A" w:rsidRPr="000C158A">
        <w:rPr>
          <w:color w:val="000000" w:themeColor="text1"/>
        </w:rPr>
        <w:t>’</w:t>
      </w:r>
      <w:r w:rsidRPr="00893BD1">
        <w:rPr>
          <w:color w:val="000000" w:themeColor="text1"/>
        </w:rPr>
        <w:t xml:space="preserve">s investment entity.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50379D" w:rsidRDefault="000C15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9D" w:rsidRDefault="0050379D" w:rsidP="009022BC">
      <w:pPr>
        <w:suppressAutoHyphens/>
      </w:pPr>
    </w:p>
    <w:sectPr w:rsidR="0050379D" w:rsidSect="005037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8" w:rsidRDefault="00CE3008" w:rsidP="009F0C77">
      <w:r>
        <w:separator/>
      </w:r>
    </w:p>
  </w:endnote>
  <w:endnote w:type="continuationSeparator" w:id="0">
    <w:p w:rsidR="00CE3008" w:rsidRDefault="00CE3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EEA87C-E429-4478-BB30-239448E91C24}"/>
    <w:embedBold r:id="rId2" w:fontKey="{F55C61D1-E132-43AB-B392-358AA1F4406F}"/>
  </w:font>
  <w:font w:name="Calibri">
    <w:panose1 w:val="020F0502020204030204"/>
    <w:charset w:val="00"/>
    <w:family w:val="swiss"/>
    <w:pitch w:val="variable"/>
    <w:sig w:usb0="A00002EF" w:usb1="4000207B" w:usb2="00000000" w:usb3="00000000" w:csb0="0000009F" w:csb1="00000000"/>
    <w:embedRegular r:id="rId3" w:fontKey="{17E3284D-D200-48D9-B164-FC93C536CA34}"/>
  </w:font>
  <w:font w:name="Tahoma">
    <w:panose1 w:val="020B0604030504040204"/>
    <w:charset w:val="00"/>
    <w:family w:val="swiss"/>
    <w:pitch w:val="variable"/>
    <w:sig w:usb0="61002A87" w:usb1="80000000" w:usb2="00000008" w:usb3="00000000" w:csb0="000101FF" w:csb1="00000000"/>
    <w:embedRegular r:id="rId4" w:fontKey="{24708736-6C6B-4CE7-ADF5-30261AAC6AB7}"/>
  </w:font>
  <w:font w:name="Cambria">
    <w:panose1 w:val="02040503050406030204"/>
    <w:charset w:val="00"/>
    <w:family w:val="roman"/>
    <w:pitch w:val="variable"/>
    <w:sig w:usb0="A00002EF" w:usb1="4000004B" w:usb2="00000000" w:usb3="00000000" w:csb0="0000009F" w:csb1="00000000"/>
    <w:embedRegular r:id="rId5" w:fontKey="{FE75FA62-0E53-49C9-A1FC-838D529E8E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B" w:rsidRPr="0050379D" w:rsidRDefault="0050379D" w:rsidP="0050379D">
    <w:pPr>
      <w:pStyle w:val="Footer"/>
      <w:tabs>
        <w:tab w:val="clear" w:pos="4680"/>
        <w:tab w:val="clear" w:pos="9360"/>
        <w:tab w:val="center" w:pos="2995"/>
      </w:tabs>
      <w:spacing w:before="120"/>
    </w:pPr>
    <w:r>
      <w:t>[429]</w:t>
    </w:r>
    <w:r>
      <w:tab/>
    </w:r>
    <w:fldSimple w:instr=" PAGE  \* MERGEFORMAT ">
      <w:r w:rsidR="009022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8" w:rsidRDefault="00CE3008" w:rsidP="009F0C77">
      <w:r>
        <w:separator/>
      </w:r>
    </w:p>
  </w:footnote>
  <w:footnote w:type="continuationSeparator" w:id="0">
    <w:p w:rsidR="00CE3008" w:rsidRDefault="00CE3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9DG11"/>
    <w:docVar w:name="CoverBillType" w:val="b"/>
    <w:docVar w:name="docpath" w:val="L:\Council\bills\NBD\11159DG11.DOCX"/>
    <w:docVar w:name="dvBillNumber" w:val="429"/>
    <w:docVar w:name="dvBillNumberPrefix" w:val="S. "/>
    <w:docVar w:name="dvOriginalBody" w:val="Senate"/>
    <w:docVar w:name="dvSteno" w:val="NBD"/>
    <w:docVar w:name="NameofBody" w:val="s"/>
    <w:docVar w:name="vgroup2" w:val="Council"/>
  </w:docVars>
  <w:rsids>
    <w:rsidRoot w:val="003A398F"/>
    <w:rsid w:val="00026C9A"/>
    <w:rsid w:val="000965A1"/>
    <w:rsid w:val="000C158A"/>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98F"/>
    <w:rsid w:val="003D411E"/>
    <w:rsid w:val="003E3C1E"/>
    <w:rsid w:val="003E6148"/>
    <w:rsid w:val="00400EAA"/>
    <w:rsid w:val="0041760A"/>
    <w:rsid w:val="004809EE"/>
    <w:rsid w:val="0050379D"/>
    <w:rsid w:val="00511EE9"/>
    <w:rsid w:val="00521E00"/>
    <w:rsid w:val="005648FD"/>
    <w:rsid w:val="00577C6C"/>
    <w:rsid w:val="0058501B"/>
    <w:rsid w:val="005C405A"/>
    <w:rsid w:val="006215AA"/>
    <w:rsid w:val="006340D9"/>
    <w:rsid w:val="00643B8E"/>
    <w:rsid w:val="006658D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22BC"/>
    <w:rsid w:val="0091337C"/>
    <w:rsid w:val="009352BB"/>
    <w:rsid w:val="00990668"/>
    <w:rsid w:val="009D344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289F"/>
    <w:rsid w:val="00CE3008"/>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4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58A"/>
    <w:rPr>
      <w:rFonts w:ascii="Tahoma" w:hAnsi="Tahoma" w:cs="Tahoma"/>
      <w:sz w:val="16"/>
      <w:szCs w:val="16"/>
    </w:rPr>
  </w:style>
  <w:style w:type="character" w:customStyle="1" w:styleId="BalloonTextChar">
    <w:name w:val="Balloon Text Char"/>
    <w:basedOn w:val="DefaultParagraphFont"/>
    <w:link w:val="BalloonText"/>
    <w:uiPriority w:val="99"/>
    <w:semiHidden/>
    <w:rsid w:val="000C15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77CE-8854-4395-92FC-01F1D208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2193</Words>
  <Characters>12506</Characters>
  <Application>Microsoft Office Word</Application>
  <DocSecurity>0</DocSecurity>
  <Lines>104</Lines>
  <Paragraphs>29</Paragraphs>
  <ScaleCrop>false</ScaleCrop>
  <Company> </Company>
  <LinksUpToDate>false</LinksUpToDate>
  <CharactersWithSpaces>14670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2011-01-21T20:44:00Z</cp:lastPrinted>
  <dcterms:created xsi:type="dcterms:W3CDTF">2011-01-28T17:08:00Z</dcterms:created>
  <dcterms:modified xsi:type="dcterms:W3CDTF">2011-01-28T17:08:00Z</dcterms:modified>
</cp:coreProperties>
</file>