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07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A2491">
        <w:rPr>
          <w:color w:val="000000" w:themeColor="text1"/>
          <w:u w:color="000000" w:themeColor="text1"/>
        </w:rPr>
        <w:t>TO AMEND THE CODE OF LAWS OF SOUTH CAROLINA, 1976, BY ADDING 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3017 SO AS TO REQUIRE CHIEF PROCUREMENT OFFICERS OF GOVERNMENTAL BODIES TO UNDERTAKE LIFE CYCLE COST ANALYSIS FOR ALL PUBLIC WORKS CONSTRUCTION PROJECTS THAT ARE EXPECTED TO COST MORE THAN ONE MILLION DOLLARS; AND TO AMEND 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3020, RELATING TO ADDITIONAL BIDDING PROCEDURES FOR CONSTRUCTION PROCUREMENT, SO AS TO AUTHORIZE ALTERNATE INFRASTRUCTURE BIDDING PROCEDURES FOR PUBLIC WORKS CONSTRUCTION PROJECTS.</w:t>
      </w:r>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73B" w:rsidRDefault="004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1.</w:t>
      </w:r>
      <w:r w:rsidRPr="00DA2491">
        <w:rPr>
          <w:color w:val="000000" w:themeColor="text1"/>
          <w:u w:color="000000" w:themeColor="text1"/>
        </w:rPr>
        <w:tab/>
        <w:t>Subarticle 3</w:t>
      </w:r>
      <w:r w:rsidR="002C06A6">
        <w:rPr>
          <w:color w:val="000000" w:themeColor="text1"/>
          <w:u w:color="000000" w:themeColor="text1"/>
        </w:rPr>
        <w:t>,</w:t>
      </w:r>
      <w:r w:rsidRPr="00DA2491">
        <w:rPr>
          <w:color w:val="000000" w:themeColor="text1"/>
          <w:u w:color="000000" w:themeColor="text1"/>
        </w:rPr>
        <w:t xml:space="preserve"> Article 9, Chapter 35, Title 11 of the 1976 Code is amended by adding:</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ab/>
        <w:t>“Section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3017.</w:t>
      </w:r>
      <w:r w:rsidRPr="00DA2491">
        <w:rPr>
          <w:color w:val="000000" w:themeColor="text1"/>
          <w:u w:color="000000" w:themeColor="text1"/>
        </w:rPr>
        <w:tab/>
        <w:t>Notwithstanding another provision of law, the chief procurement officer of a governmental body shall undertake a life cycle cost analysis for all public works construction project</w:t>
      </w:r>
      <w:r>
        <w:rPr>
          <w:color w:val="000000" w:themeColor="text1"/>
          <w:u w:color="000000" w:themeColor="text1"/>
        </w:rPr>
        <w:t>s</w:t>
      </w:r>
      <w:r w:rsidRPr="00DA2491">
        <w:rPr>
          <w:color w:val="000000" w:themeColor="text1"/>
          <w:u w:color="000000" w:themeColor="text1"/>
        </w:rPr>
        <w:t xml:space="preserve"> that are expected to cost </w:t>
      </w:r>
      <w:r>
        <w:rPr>
          <w:color w:val="000000" w:themeColor="text1"/>
          <w:u w:color="000000" w:themeColor="text1"/>
        </w:rPr>
        <w:t xml:space="preserve">more than one million dollars.  </w:t>
      </w:r>
      <w:r w:rsidRPr="00DA2491">
        <w:rPr>
          <w:color w:val="000000" w:themeColor="text1"/>
          <w:u w:color="000000" w:themeColor="text1"/>
        </w:rPr>
        <w:t>The life cycle cost analysis is defined as a process for evaluating the total economic worth of a highway project by analyzing initial costs and discounted future costs, such as structural maintenance, user costs, reconstruction, rehabilitation, restoring and resurfacing costs, over</w:t>
      </w:r>
      <w:r w:rsidR="00F70F1B">
        <w:rPr>
          <w:color w:val="000000" w:themeColor="text1"/>
          <w:u w:color="000000" w:themeColor="text1"/>
        </w:rPr>
        <w:t xml:space="preserve"> at least a fifty</w:t>
      </w:r>
      <w:r w:rsidR="00EC312B">
        <w:rPr>
          <w:color w:val="000000" w:themeColor="text1"/>
          <w:u w:color="000000" w:themeColor="text1"/>
        </w:rPr>
        <w:noBreakHyphen/>
      </w:r>
      <w:r w:rsidR="00F70F1B">
        <w:rPr>
          <w:color w:val="000000" w:themeColor="text1"/>
          <w:u w:color="000000" w:themeColor="text1"/>
        </w:rPr>
        <w:t xml:space="preserve">year period. </w:t>
      </w:r>
      <w:r w:rsidRPr="00DA2491">
        <w:rPr>
          <w:color w:val="000000" w:themeColor="text1"/>
          <w:u w:color="000000" w:themeColor="text1"/>
        </w:rPr>
        <w:t xml:space="preserve"> The chief procurement officer shall use actual material life and maintenance cost data when available and a discount rate that reflects the actual inflation rate of each material.”</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lastRenderedPageBreak/>
        <w:t>SECTION</w:t>
      </w:r>
      <w:r w:rsidRPr="00DA2491">
        <w:rPr>
          <w:color w:val="000000" w:themeColor="text1"/>
          <w:u w:color="000000" w:themeColor="text1"/>
        </w:rPr>
        <w:tab/>
        <w:t>2.</w:t>
      </w:r>
      <w:r w:rsidRPr="00DA2491">
        <w:rPr>
          <w:color w:val="000000" w:themeColor="text1"/>
          <w:u w:color="000000" w:themeColor="text1"/>
        </w:rPr>
        <w:tab/>
        <w:t>Section 11</w:t>
      </w:r>
      <w:r w:rsidR="00EC312B">
        <w:rPr>
          <w:color w:val="000000" w:themeColor="text1"/>
          <w:u w:color="000000" w:themeColor="text1"/>
        </w:rPr>
        <w:noBreakHyphen/>
      </w:r>
      <w:r w:rsidRPr="00DA2491">
        <w:rPr>
          <w:color w:val="000000" w:themeColor="text1"/>
          <w:u w:color="000000" w:themeColor="text1"/>
        </w:rPr>
        <w:t>35</w:t>
      </w:r>
      <w:r w:rsidR="00EC312B">
        <w:rPr>
          <w:color w:val="000000" w:themeColor="text1"/>
          <w:u w:color="000000" w:themeColor="text1"/>
        </w:rPr>
        <w:noBreakHyphen/>
      </w:r>
      <w:r w:rsidRPr="00DA2491">
        <w:rPr>
          <w:color w:val="000000" w:themeColor="text1"/>
          <w:u w:color="000000" w:themeColor="text1"/>
        </w:rPr>
        <w:t>3020 of the 1976 Code is amended to read:</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EC312B">
        <w:rPr>
          <w:color w:val="000000" w:themeColor="text1"/>
          <w:u w:color="000000" w:themeColor="text1"/>
        </w:rPr>
        <w:noBreakHyphen/>
      </w:r>
      <w:r>
        <w:rPr>
          <w:color w:val="000000" w:themeColor="text1"/>
          <w:u w:color="000000" w:themeColor="text1"/>
        </w:rPr>
        <w:t>35</w:t>
      </w:r>
      <w:r w:rsidR="00EC312B">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F0FAD">
        <w:t>Exceptions in Competitive Sealed Bidding Procedures.  The process of competitive sealed bidding as required by Section 11</w:t>
      </w:r>
      <w:r w:rsidR="00EC312B">
        <w:noBreakHyphen/>
      </w:r>
      <w:r w:rsidRPr="00BF0FAD">
        <w:t>35</w:t>
      </w:r>
      <w:r w:rsidR="00EC312B">
        <w:noBreakHyphen/>
      </w:r>
      <w:r w:rsidRPr="00BF0FAD">
        <w:t xml:space="preserve">3015(2)(b) must be performed in accordance with the procedures outlined in Article 5 of </w:t>
      </w:r>
      <w:r w:rsidRPr="00B81DE7">
        <w:rPr>
          <w:strike/>
        </w:rPr>
        <w:t>this code</w:t>
      </w:r>
      <w:r w:rsidR="00B81DE7">
        <w:rPr>
          <w:u w:val="single"/>
        </w:rPr>
        <w:t>the 1976 Code</w:t>
      </w:r>
      <w:r w:rsidRPr="00BF0FAD">
        <w:t xml:space="preserve"> subject to the following exceptions: </w:t>
      </w: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(a)</w:t>
      </w:r>
      <w:r>
        <w:rPr>
          <w:u w:val="single"/>
        </w:rPr>
        <w:t>(1)</w:t>
      </w:r>
      <w:r>
        <w:tab/>
      </w:r>
      <w:r w:rsidRPr="00BF0FAD">
        <w:t>Invitation for Bids.</w:t>
      </w:r>
      <w:r>
        <w:tab/>
        <w:t xml:space="preserve">  E</w:t>
      </w:r>
      <w:r w:rsidRPr="00BF0FAD">
        <w:t>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EC312B" w:rsidRPr="00EC312B">
        <w:t>’</w:t>
      </w:r>
      <w:r w:rsidRPr="00BF0FAD">
        <w:t xml:space="preserve">s Office and must be advertised formally in an official state government publication.   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 </w:t>
      </w:r>
    </w:p>
    <w:p w:rsidR="00F70F1B" w:rsidRPr="00BF0FAD" w:rsidRDefault="00F70F1B"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(b)</w:t>
      </w:r>
      <w:r>
        <w:rPr>
          <w:u w:val="single"/>
        </w:rPr>
        <w:t>(2)</w:t>
      </w:r>
      <w:r>
        <w:tab/>
      </w:r>
      <w:r w:rsidRPr="00BF0FAD">
        <w:t>Bid Acceptance.  Instead of Section 11</w:t>
      </w:r>
      <w:r w:rsidR="00EC312B">
        <w:noBreakHyphen/>
      </w:r>
      <w:r w:rsidRPr="00BF0FAD">
        <w:t>35</w:t>
      </w:r>
      <w:r w:rsidR="00EC312B">
        <w:noBreakHyphen/>
      </w:r>
      <w:r w:rsidRPr="00BF0FAD">
        <w:t xml:space="preserve">1520(6), the following provision applies.  Bids must be accepted unconditionally without alteration or correction, except as otherwise authorized </w:t>
      </w:r>
      <w:r w:rsidRPr="00E43049">
        <w:rPr>
          <w:strike/>
        </w:rPr>
        <w:t>in this code</w:t>
      </w:r>
      <w:r w:rsidRPr="00BF0FAD">
        <w:t>.  The governmental body</w:t>
      </w:r>
      <w:r w:rsidR="00EC312B" w:rsidRPr="00EC312B">
        <w:t>’</w:t>
      </w:r>
      <w:r w:rsidRPr="00BF0FAD">
        <w:t xml:space="preserve">s invitation for bids must set forth all requirements of the bid including, but not limited to: </w:t>
      </w:r>
    </w:p>
    <w:p w:rsidR="00F70F1B" w:rsidRPr="00BF0FAD" w:rsidRDefault="00E43049"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E43049">
        <w:rPr>
          <w:strike/>
        </w:rPr>
        <w:t>(i)</w:t>
      </w:r>
      <w:r>
        <w:rPr>
          <w:u w:val="single"/>
        </w:rPr>
        <w:t>(a)</w:t>
      </w:r>
      <w:r>
        <w:tab/>
      </w:r>
      <w:r w:rsidR="00F70F1B" w:rsidRPr="00BF0FAD">
        <w:t>The governmental body, in consultation with the architect</w:t>
      </w:r>
      <w:r w:rsidR="00EC312B">
        <w:noBreakHyphen/>
      </w:r>
      <w:r w:rsidR="00F70F1B" w:rsidRPr="00BF0FAD">
        <w:t>engineer assigned to the project, shall identify by specialty in the invitation for bids all subcontractors who are expected to perform work for the prime contractor to or about the construction when those subcontractors</w:t>
      </w:r>
      <w:r w:rsidR="00EC312B" w:rsidRPr="00EC312B">
        <w:t>’</w:t>
      </w:r>
      <w:r w:rsidR="00F70F1B" w:rsidRPr="00BF0FAD">
        <w:t xml:space="preserve"> contracts are each expected to exceed three percent of the prime contractor</w:t>
      </w:r>
      <w:r w:rsidR="00EC312B" w:rsidRPr="00EC312B">
        <w:t>’</w:t>
      </w:r>
      <w:r w:rsidR="00F70F1B" w:rsidRPr="00BF0FAD">
        <w:t>s total base bid.  In addition, the governmental body, in consultation with the architect</w:t>
      </w:r>
      <w:r w:rsidR="00EC312B">
        <w:noBreakHyphen/>
      </w:r>
      <w:r w:rsidR="00F70F1B" w:rsidRPr="00BF0FAD">
        <w:t xml:space="preserve">engineer assigned to the project, may identify by specialty in the invitation for bids a subcontractor who is expected to perform work </w:t>
      </w:r>
      <w:r w:rsidR="00F70F1B" w:rsidRPr="00E43049">
        <w:rPr>
          <w:strike/>
        </w:rPr>
        <w:t>whic</w:t>
      </w:r>
      <w:r w:rsidRPr="00E43049">
        <w:rPr>
          <w:strike/>
        </w:rPr>
        <w:t>h</w:t>
      </w:r>
      <w:r w:rsidR="00FC1004">
        <w:rPr>
          <w:u w:val="single"/>
        </w:rPr>
        <w:t>that</w:t>
      </w:r>
      <w:r w:rsidR="00F70F1B" w:rsidRPr="00BF0FAD">
        <w:t xml:space="preserve"> is vital to the project.  The determination of which subcontractors are included in the list provided in the invitation for bids is not protestable pursuant to Section 11</w:t>
      </w:r>
      <w:r w:rsidR="00EC312B">
        <w:noBreakHyphen/>
      </w:r>
      <w:r w:rsidR="00F70F1B" w:rsidRPr="00BF0FAD">
        <w:t>35</w:t>
      </w:r>
      <w:r w:rsidR="00EC312B">
        <w:noBreakHyphen/>
      </w:r>
      <w:r w:rsidR="00F70F1B" w:rsidRPr="00BF0FAD">
        <w:t xml:space="preserve">4210 or another provision of this code.  A bidder in response to an invitation for bids shall set forth in his bid the name of only those subcontractors to perform the work as identified in the invitation for bids.  If the bidder determines to use his own employees to perform a portion of the work for which he would </w:t>
      </w:r>
      <w:r w:rsidR="00F70F1B" w:rsidRPr="00BF0FAD">
        <w:lastRenderedPageBreak/>
        <w:t>otherwise be required to list a subcontractor</w:t>
      </w:r>
      <w:r w:rsidR="00FC1004">
        <w:rPr>
          <w:u w:val="single"/>
        </w:rPr>
        <w:t>,</w:t>
      </w:r>
      <w:r w:rsidR="00F70F1B" w:rsidRPr="00BF0FAD">
        <w:t xml:space="preserve"> and if the bidder is qualified to perform that work under the terms of the invitation for bids, the bidder shall list himself in the appropriate place in his bid and not subcontract that work except with the approval of the governmental body for good cause shown. </w:t>
      </w:r>
    </w:p>
    <w:p w:rsidR="00F70F1B" w:rsidRPr="00BF0FAD" w:rsidRDefault="00FC100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(ii)</w:t>
      </w:r>
      <w:r>
        <w:rPr>
          <w:u w:val="single"/>
        </w:rPr>
        <w:t>(b)</w:t>
      </w:r>
      <w:r>
        <w:tab/>
      </w:r>
      <w:r w:rsidR="00F70F1B" w:rsidRPr="00BF0FAD">
        <w:t>Failure to complete the list provided in the invitation for bids renders the bidder</w:t>
      </w:r>
      <w:r w:rsidR="00EC312B" w:rsidRPr="00EC312B">
        <w:t>’</w:t>
      </w:r>
      <w:r w:rsidR="00F70F1B" w:rsidRPr="00BF0FAD">
        <w:t xml:space="preserve">s bid unresponsive. </w:t>
      </w:r>
    </w:p>
    <w:p w:rsidR="00F70F1B" w:rsidRPr="00BF0FAD" w:rsidRDefault="00FC100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(iii)</w:t>
      </w:r>
      <w:r>
        <w:rPr>
          <w:u w:val="single"/>
        </w:rPr>
        <w:t>(c)</w:t>
      </w:r>
      <w:r w:rsidRPr="00FC1004">
        <w:tab/>
      </w:r>
      <w:r w:rsidR="00F70F1B" w:rsidRPr="00BF0FAD">
        <w:t xml:space="preserve">The governmental body shall send all responsive bidders a copy of the bid tabulation within ten working days following the bid opening. </w:t>
      </w:r>
    </w:p>
    <w:p w:rsidR="00FC1004" w:rsidRDefault="00FC1004" w:rsidP="00FC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70F1B" w:rsidRPr="00FC1004">
        <w:rPr>
          <w:strike/>
        </w:rPr>
        <w:t>(c)</w:t>
      </w:r>
      <w:r>
        <w:rPr>
          <w:u w:val="single"/>
        </w:rPr>
        <w:t>(3)</w:t>
      </w:r>
      <w:r>
        <w:tab/>
      </w:r>
      <w:r w:rsidR="00F70F1B" w:rsidRPr="00BF0FAD">
        <w:t>Instead of Section 11</w:t>
      </w:r>
      <w:r w:rsidR="00EC312B">
        <w:noBreakHyphen/>
      </w:r>
      <w:r w:rsidR="00F70F1B" w:rsidRPr="00BF0FAD">
        <w:t>35</w:t>
      </w:r>
      <w:r w:rsidR="00EC312B">
        <w:noBreakHyphen/>
      </w:r>
      <w:r w:rsidR="00F70F1B" w:rsidRPr="00BF0FAD">
        <w:t xml:space="preserve">1520(10), the following provisions apply: </w:t>
      </w:r>
    </w:p>
    <w:p w:rsidR="00F70F1B" w:rsidRPr="00BF0FAD" w:rsidRDefault="00FC1004" w:rsidP="00FC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FC1004">
        <w:rPr>
          <w:strike/>
        </w:rPr>
        <w:t>(i)</w:t>
      </w:r>
      <w:r>
        <w:rPr>
          <w:u w:val="single"/>
        </w:rPr>
        <w:t>(a)</w:t>
      </w:r>
      <w:r>
        <w:tab/>
      </w:r>
      <w:r w:rsidR="00F70F1B" w:rsidRPr="00BF0FAD">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00EC312B" w:rsidRPr="00EC312B">
        <w:t>’</w:t>
      </w:r>
      <w:r w:rsidR="00F70F1B" w:rsidRPr="00BF0FAD">
        <w:t>s right to protest pursuant to Section 11</w:t>
      </w:r>
      <w:r w:rsidR="00EC312B">
        <w:noBreakHyphen/>
      </w:r>
      <w:r w:rsidR="00F70F1B" w:rsidRPr="00BF0FAD">
        <w:t>35</w:t>
      </w:r>
      <w:r w:rsidR="00EC312B">
        <w:noBreakHyphen/>
      </w:r>
      <w:r w:rsidR="00F70F1B" w:rsidRPr="00BF0FAD">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EC312B" w:rsidRPr="00EC312B">
        <w:t>’</w:t>
      </w:r>
      <w:r w:rsidR="00F70F1B" w:rsidRPr="00BF0FAD">
        <w:t>s right to protest pursuant to Section 11</w:t>
      </w:r>
      <w:r w:rsidR="00EC312B">
        <w:noBreakHyphen/>
      </w:r>
      <w:r w:rsidR="00F70F1B" w:rsidRPr="00BF0FAD">
        <w:t>35</w:t>
      </w:r>
      <w:r w:rsidR="00EC312B">
        <w:noBreakHyphen/>
      </w:r>
      <w:r w:rsidR="00F70F1B" w:rsidRPr="00BF0FAD">
        <w:t xml:space="preserve">4210(1).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w:t>
      </w:r>
      <w:r>
        <w:rPr>
          <w:u w:val="single"/>
        </w:rPr>
        <w:t>(b)</w:t>
      </w:r>
      <w:r>
        <w:tab/>
      </w:r>
      <w:r w:rsidR="00F70F1B" w:rsidRPr="00BF0FAD">
        <w:t>After ten days</w:t>
      </w:r>
      <w:r w:rsidR="00EC312B" w:rsidRPr="00EC312B">
        <w:t>’</w:t>
      </w:r>
      <w:r w:rsidR="00F70F1B" w:rsidRPr="00BF0FAD">
        <w:t xml:space="preserve"> notice is given, the governmental body may enter into a contract with the bidder named in the notice in accordance with the provisions of this code and of the bid solicited.  The procurement officer must comply with Section 11</w:t>
      </w:r>
      <w:r w:rsidR="00EC312B">
        <w:noBreakHyphen/>
      </w:r>
      <w:r w:rsidR="00F70F1B" w:rsidRPr="00BF0FAD">
        <w:t>35</w:t>
      </w:r>
      <w:r w:rsidR="00EC312B">
        <w:noBreakHyphen/>
      </w:r>
      <w:r w:rsidR="00F70F1B" w:rsidRPr="00BF0FAD">
        <w:t xml:space="preserve">1810.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(iii)</w:t>
      </w:r>
      <w:r>
        <w:rPr>
          <w:u w:val="single"/>
        </w:rPr>
        <w:t>(c)</w:t>
      </w:r>
      <w:r>
        <w:tab/>
      </w:r>
      <w:r w:rsidR="00F70F1B" w:rsidRPr="00BF0FAD">
        <w:t>If, at bid opening, only one bid is received and determined to be responsive and responsible and within the governmental body</w:t>
      </w:r>
      <w:r w:rsidR="00EC312B" w:rsidRPr="00EC312B">
        <w:t>’</w:t>
      </w:r>
      <w:r w:rsidR="00F70F1B" w:rsidRPr="00BF0FAD">
        <w:t>s construction budget, award may be made without the ten</w:t>
      </w:r>
      <w:r w:rsidR="00EC312B">
        <w:noBreakHyphen/>
      </w:r>
      <w:r w:rsidR="00F70F1B" w:rsidRPr="00BF0FAD">
        <w:t xml:space="preserve">day waiting period.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70F1B" w:rsidRPr="00D90834">
        <w:rPr>
          <w:strike/>
        </w:rPr>
        <w:t>(d)</w:t>
      </w:r>
      <w:r>
        <w:rPr>
          <w:u w:val="single"/>
        </w:rPr>
        <w:t>(4)</w:t>
      </w:r>
      <w:r>
        <w:tab/>
      </w:r>
      <w:r w:rsidR="00F70F1B" w:rsidRPr="00BF0FAD">
        <w:t>Negotiations after Unsuccessful Competitive Sealed Bidding.  Instead of Section 11</w:t>
      </w:r>
      <w:r w:rsidR="00EC312B">
        <w:noBreakHyphen/>
      </w:r>
      <w:r w:rsidR="00F70F1B" w:rsidRPr="00BF0FAD">
        <w:t>35</w:t>
      </w:r>
      <w:r w:rsidR="00EC312B">
        <w:noBreakHyphen/>
      </w:r>
      <w:r w:rsidR="00F70F1B" w:rsidRPr="00BF0FAD">
        <w:t xml:space="preserve">1540, the following provisions apply: </w:t>
      </w:r>
    </w:p>
    <w:p w:rsidR="00F70F1B" w:rsidRPr="00BF0FAD"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w:t>
      </w:r>
      <w:r>
        <w:rPr>
          <w:u w:val="single"/>
        </w:rPr>
        <w:t>(a)</w:t>
      </w:r>
      <w:r>
        <w:tab/>
      </w:r>
      <w:r w:rsidR="00F70F1B" w:rsidRPr="00BF0FAD">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w:t>
      </w:r>
      <w:r w:rsidR="00F70F1B" w:rsidRPr="00BF0FAD">
        <w:lastRenderedPageBreak/>
        <w:t xml:space="preserve">greater than ten percent of the construction budget established for that portion of the work, a contract may be negotiated pursuant to this section with the lowest responsible and responsive bidder.  The governmental body may change the scope of the work to reduce the cost to be within the established construction budget but may not reduce the cost below the established construction budget more than ten percent without a written request by the agency and the written approval of the chief procurement officer based on the best interest of the State. </w:t>
      </w:r>
    </w:p>
    <w:p w:rsidR="00B30928" w:rsidRDefault="00D90834" w:rsidP="00F70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70F1B" w:rsidRPr="00D90834">
        <w:rPr>
          <w:strike/>
        </w:rPr>
        <w:t>(ii)</w:t>
      </w:r>
      <w:r>
        <w:rPr>
          <w:u w:val="single"/>
        </w:rPr>
        <w:t>(b)</w:t>
      </w:r>
      <w:r>
        <w:tab/>
      </w:r>
      <w:r w:rsidR="00F70F1B" w:rsidRPr="00BF0FAD">
        <w:t>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its request to use those additional funds to the board and the Joint Bond Review Committee in accordance with Sections 2</w:t>
      </w:r>
      <w:r w:rsidR="00EC312B">
        <w:noBreakHyphen/>
      </w:r>
      <w:r w:rsidR="00F70F1B" w:rsidRPr="00BF0FAD">
        <w:t>47</w:t>
      </w:r>
      <w:r w:rsidR="00EC312B">
        <w:noBreakHyphen/>
      </w:r>
      <w:r w:rsidR="00F70F1B" w:rsidRPr="00BF0FAD">
        <w:t>40 and 2</w:t>
      </w:r>
      <w:r w:rsidR="00EC312B">
        <w:noBreakHyphen/>
      </w:r>
      <w:r w:rsidR="00F70F1B" w:rsidRPr="00BF0FAD">
        <w:t>47</w:t>
      </w:r>
      <w:r w:rsidR="00EC312B">
        <w:noBreakHyphen/>
      </w:r>
      <w:r w:rsidR="00F70F1B">
        <w:t>50.</w:t>
      </w:r>
    </w:p>
    <w:p w:rsidR="00F70F1B" w:rsidRDefault="00B30928" w:rsidP="00B3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B30928">
        <w:rPr>
          <w:color w:val="000000" w:themeColor="text1"/>
          <w:u w:val="single" w:color="000000" w:themeColor="text1"/>
        </w:rPr>
        <w:t>Notwithstanding another provision of law, the chief procurement officer of a governmental body is authorized to utilize alternate infrastructure type b</w:t>
      </w:r>
      <w:r w:rsidR="00303F45">
        <w:rPr>
          <w:color w:val="000000" w:themeColor="text1"/>
          <w:u w:val="single" w:color="000000" w:themeColor="text1"/>
        </w:rPr>
        <w:t>idding</w:t>
      </w:r>
      <w:r w:rsidRPr="00B30928">
        <w:rPr>
          <w:color w:val="000000" w:themeColor="text1"/>
          <w:u w:val="single" w:color="000000" w:themeColor="text1"/>
        </w:rPr>
        <w:t xml:space="preserve"> for public works construction projects.  </w:t>
      </w:r>
      <w:r w:rsidR="00303F45">
        <w:rPr>
          <w:color w:val="000000" w:themeColor="text1"/>
          <w:u w:val="single" w:color="000000" w:themeColor="text1"/>
        </w:rPr>
        <w:t>The term altern</w:t>
      </w:r>
      <w:r w:rsidRPr="00B30928">
        <w:rPr>
          <w:color w:val="000000" w:themeColor="text1"/>
          <w:u w:val="single" w:color="000000" w:themeColor="text1"/>
        </w:rPr>
        <w:t>ate infrastructure</w:t>
      </w:r>
      <w:r w:rsidR="002C06A6">
        <w:rPr>
          <w:color w:val="000000" w:themeColor="text1"/>
          <w:u w:val="single" w:color="000000" w:themeColor="text1"/>
        </w:rPr>
        <w:t>-</w:t>
      </w:r>
      <w:r w:rsidRPr="00B30928">
        <w:rPr>
          <w:color w:val="000000" w:themeColor="text1"/>
          <w:u w:val="single" w:color="000000" w:themeColor="text1"/>
        </w:rPr>
        <w:t>type b</w:t>
      </w:r>
      <w:r w:rsidR="00303F45">
        <w:rPr>
          <w:color w:val="000000" w:themeColor="text1"/>
          <w:u w:val="single" w:color="000000" w:themeColor="text1"/>
        </w:rPr>
        <w:t>idding</w:t>
      </w:r>
      <w:r w:rsidRPr="00B30928">
        <w:rPr>
          <w:color w:val="000000" w:themeColor="text1"/>
          <w:u w:val="single" w:color="000000" w:themeColor="text1"/>
        </w:rPr>
        <w:t xml:space="preserve"> is defined as a process under which the governmental body determines, from engineering and economic analysis, including the American Association of State Highway and Transportation Official</w:t>
      </w:r>
      <w:r w:rsidR="00EC312B" w:rsidRPr="00EC312B">
        <w:rPr>
          <w:color w:val="000000" w:themeColor="text1"/>
          <w:u w:val="single" w:color="000000" w:themeColor="text1"/>
        </w:rPr>
        <w:t>’</w:t>
      </w:r>
      <w:r w:rsidRPr="00B30928">
        <w:rPr>
          <w:color w:val="000000" w:themeColor="text1"/>
          <w:u w:val="single" w:color="000000" w:themeColor="text1"/>
        </w:rPr>
        <w:t>s Mechanistic Empirical Design Guide, that two or more initial project designs utilizing different construction materials and methods and their forecasted performance and life</w:t>
      </w:r>
      <w:r w:rsidR="00EC312B">
        <w:rPr>
          <w:color w:val="000000" w:themeColor="text1"/>
          <w:u w:val="single" w:color="000000" w:themeColor="text1"/>
        </w:rPr>
        <w:noBreakHyphen/>
      </w:r>
      <w:r w:rsidRPr="00B30928">
        <w:rPr>
          <w:color w:val="000000" w:themeColor="text1"/>
          <w:u w:val="single" w:color="000000" w:themeColor="text1"/>
        </w:rPr>
        <w:t>cycle costs are comparable or similar enough to warrant solicitation of bids on more than one design for a project.</w:t>
      </w:r>
      <w:r w:rsidR="00F70F1B">
        <w:t>”</w:t>
      </w: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28E" w:rsidRPr="00DA2491" w:rsidRDefault="0098028E" w:rsidP="0098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3.</w:t>
      </w:r>
      <w:r w:rsidRPr="00DA2491">
        <w:rPr>
          <w:color w:val="000000" w:themeColor="text1"/>
          <w:u w:color="000000" w:themeColor="text1"/>
        </w:rPr>
        <w:tab/>
        <w:t xml:space="preserve">This act takes effect upon approval by the Governor. </w:t>
      </w:r>
    </w:p>
    <w:p w:rsidR="003E5744" w:rsidRDefault="00EC3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744" w:rsidRDefault="003E5744" w:rsidP="003E5744">
      <w:pPr>
        <w:suppressAutoHyphens/>
      </w:pPr>
    </w:p>
    <w:sectPr w:rsidR="003E5744" w:rsidSect="003E57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834" w:rsidRDefault="00D90834" w:rsidP="009F0C77">
      <w:r>
        <w:separator/>
      </w:r>
    </w:p>
  </w:endnote>
  <w:endnote w:type="continuationSeparator" w:id="0">
    <w:p w:rsidR="00D90834" w:rsidRDefault="00D908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6ECB93-509E-41AE-AA09-09FEBC57644F}"/>
    <w:embedBold r:id="rId2" w:fontKey="{8E0D0060-A47C-48F3-BD56-88270430ABDA}"/>
  </w:font>
  <w:font w:name="Calibri">
    <w:panose1 w:val="020F0502020204030204"/>
    <w:charset w:val="00"/>
    <w:family w:val="swiss"/>
    <w:pitch w:val="variable"/>
    <w:sig w:usb0="A00002EF" w:usb1="4000207B" w:usb2="00000000" w:usb3="00000000" w:csb0="0000009F" w:csb1="00000000"/>
    <w:embedRegular r:id="rId3" w:fontKey="{B2EEA988-71DD-4166-819B-727FCD27FC1F}"/>
  </w:font>
  <w:font w:name="Tahoma">
    <w:panose1 w:val="020B0604030504040204"/>
    <w:charset w:val="00"/>
    <w:family w:val="swiss"/>
    <w:pitch w:val="variable"/>
    <w:sig w:usb0="61002A87" w:usb1="80000000" w:usb2="00000008" w:usb3="00000000" w:csb0="000101FF" w:csb1="00000000"/>
    <w:embedRegular r:id="rId4" w:fontKey="{4B685126-3719-47A2-9BEA-B33F78823B82}"/>
  </w:font>
  <w:font w:name="Cambria">
    <w:panose1 w:val="02040503050406030204"/>
    <w:charset w:val="00"/>
    <w:family w:val="roman"/>
    <w:pitch w:val="variable"/>
    <w:sig w:usb0="A00002EF" w:usb1="4000004B" w:usb2="00000000" w:usb3="00000000" w:csb0="0000009F" w:csb1="00000000"/>
    <w:embedRegular r:id="rId5" w:fontKey="{2B1E9991-139C-4BCC-B656-526A6B010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994" w:rsidRPr="003E5744" w:rsidRDefault="003E5744" w:rsidP="003E5744">
    <w:pPr>
      <w:pStyle w:val="Footer"/>
      <w:tabs>
        <w:tab w:val="clear" w:pos="4680"/>
        <w:tab w:val="clear" w:pos="9360"/>
        <w:tab w:val="center" w:pos="2995"/>
      </w:tabs>
      <w:spacing w:before="120"/>
    </w:pPr>
    <w:r>
      <w:t>[4429]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834" w:rsidRDefault="00D90834" w:rsidP="009F0C77">
      <w:r>
        <w:separator/>
      </w:r>
    </w:p>
  </w:footnote>
  <w:footnote w:type="continuationSeparator" w:id="0">
    <w:p w:rsidR="00D90834" w:rsidRDefault="00D908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6ZW12"/>
    <w:docVar w:name="CoverBillType" w:val="b"/>
    <w:docVar w:name="docpath" w:val="L:\Council\bills\GGS\22206ZW12.DOCX"/>
    <w:docVar w:name="dvBillNumber" w:val="4429"/>
    <w:docVar w:name="dvBillNumberPrefix" w:val="H. "/>
    <w:docVar w:name="dvOriginalBody" w:val="House"/>
    <w:docVar w:name="dvSteno" w:val="GGS"/>
    <w:docVar w:name="NameofBody" w:val="h"/>
    <w:docVar w:name="vgroup2" w:val="Council"/>
  </w:docVars>
  <w:rsids>
    <w:rsidRoot w:val="00F85CA8"/>
    <w:rsid w:val="00011869"/>
    <w:rsid w:val="000E1785"/>
    <w:rsid w:val="000F40FA"/>
    <w:rsid w:val="0010776B"/>
    <w:rsid w:val="00133E66"/>
    <w:rsid w:val="001435A3"/>
    <w:rsid w:val="0018429A"/>
    <w:rsid w:val="001D08F2"/>
    <w:rsid w:val="001D525B"/>
    <w:rsid w:val="001D7F4F"/>
    <w:rsid w:val="002212AC"/>
    <w:rsid w:val="002321B6"/>
    <w:rsid w:val="00250967"/>
    <w:rsid w:val="002543C8"/>
    <w:rsid w:val="00284994"/>
    <w:rsid w:val="00284AAE"/>
    <w:rsid w:val="002C06A6"/>
    <w:rsid w:val="002E5912"/>
    <w:rsid w:val="00303F45"/>
    <w:rsid w:val="00325348"/>
    <w:rsid w:val="0032732C"/>
    <w:rsid w:val="00336AD0"/>
    <w:rsid w:val="0037079A"/>
    <w:rsid w:val="003D01E8"/>
    <w:rsid w:val="003E5288"/>
    <w:rsid w:val="003E5744"/>
    <w:rsid w:val="003F6D79"/>
    <w:rsid w:val="0041760A"/>
    <w:rsid w:val="00417C01"/>
    <w:rsid w:val="0047073B"/>
    <w:rsid w:val="004809EE"/>
    <w:rsid w:val="004E7D54"/>
    <w:rsid w:val="004F0994"/>
    <w:rsid w:val="005273C6"/>
    <w:rsid w:val="00530A69"/>
    <w:rsid w:val="00545593"/>
    <w:rsid w:val="00577C6C"/>
    <w:rsid w:val="005C2FE2"/>
    <w:rsid w:val="005E2BC9"/>
    <w:rsid w:val="00605102"/>
    <w:rsid w:val="006215AA"/>
    <w:rsid w:val="0066329C"/>
    <w:rsid w:val="006913C9"/>
    <w:rsid w:val="0069470D"/>
    <w:rsid w:val="006F56EA"/>
    <w:rsid w:val="00734F00"/>
    <w:rsid w:val="007A70AE"/>
    <w:rsid w:val="008362E8"/>
    <w:rsid w:val="008A1768"/>
    <w:rsid w:val="008F4429"/>
    <w:rsid w:val="0094021A"/>
    <w:rsid w:val="0098028E"/>
    <w:rsid w:val="009C6A0B"/>
    <w:rsid w:val="009E4808"/>
    <w:rsid w:val="009F0C77"/>
    <w:rsid w:val="009F4DD1"/>
    <w:rsid w:val="00A41684"/>
    <w:rsid w:val="00A64E80"/>
    <w:rsid w:val="00A72BCD"/>
    <w:rsid w:val="00A741D9"/>
    <w:rsid w:val="00A833AB"/>
    <w:rsid w:val="00A9741D"/>
    <w:rsid w:val="00AD4B17"/>
    <w:rsid w:val="00B30928"/>
    <w:rsid w:val="00B412D4"/>
    <w:rsid w:val="00B81DE7"/>
    <w:rsid w:val="00BE3C22"/>
    <w:rsid w:val="00C0345E"/>
    <w:rsid w:val="00C3483A"/>
    <w:rsid w:val="00C74E9D"/>
    <w:rsid w:val="00C82FD3"/>
    <w:rsid w:val="00C92819"/>
    <w:rsid w:val="00CC6B7B"/>
    <w:rsid w:val="00CD2089"/>
    <w:rsid w:val="00D73A67"/>
    <w:rsid w:val="00D90834"/>
    <w:rsid w:val="00D970A9"/>
    <w:rsid w:val="00DF3845"/>
    <w:rsid w:val="00E41911"/>
    <w:rsid w:val="00E43049"/>
    <w:rsid w:val="00E92EEF"/>
    <w:rsid w:val="00EC312B"/>
    <w:rsid w:val="00F24442"/>
    <w:rsid w:val="00F50AE3"/>
    <w:rsid w:val="00F67CF1"/>
    <w:rsid w:val="00F70F1B"/>
    <w:rsid w:val="00F840F0"/>
    <w:rsid w:val="00F85CA8"/>
    <w:rsid w:val="00FB0D0D"/>
    <w:rsid w:val="00FB43B4"/>
    <w:rsid w:val="00FC1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0928"/>
    <w:rPr>
      <w:rFonts w:ascii="Tahoma" w:hAnsi="Tahoma" w:cs="Tahoma"/>
      <w:sz w:val="16"/>
      <w:szCs w:val="16"/>
    </w:rPr>
  </w:style>
  <w:style w:type="character" w:customStyle="1" w:styleId="BalloonTextChar">
    <w:name w:val="Balloon Text Char"/>
    <w:basedOn w:val="DefaultParagraphFont"/>
    <w:link w:val="BalloonText"/>
    <w:uiPriority w:val="99"/>
    <w:semiHidden/>
    <w:rsid w:val="00B309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54746-9E62-4DF3-8FA6-0797E255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2011-10-26T17:39:00Z</cp:lastPrinted>
  <dcterms:created xsi:type="dcterms:W3CDTF">2011-11-29T22:06:00Z</dcterms:created>
  <dcterms:modified xsi:type="dcterms:W3CDTF">2011-11-29T22:06:00Z</dcterms:modified>
</cp:coreProperties>
</file>