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75" w:rsidRDefault="00312D75" w:rsidP="00312D75">
      <w:pPr>
        <w:pStyle w:val="BillDots"/>
      </w:pPr>
      <w:r>
        <w:rPr>
          <w:strike/>
        </w:rPr>
        <w:t>Indicates Matter Stricken</w:t>
      </w:r>
    </w:p>
    <w:p w:rsidR="00312D75" w:rsidRPr="00312D75" w:rsidRDefault="00312D75" w:rsidP="00312D75">
      <w:pPr>
        <w:pStyle w:val="BillDots"/>
      </w:pPr>
      <w:r>
        <w:rPr>
          <w:u w:val="single"/>
        </w:rPr>
        <w:t>Indicates New Matter</w:t>
      </w:r>
    </w:p>
    <w:p w:rsidR="00312D75" w:rsidRDefault="00312D75" w:rsidP="00312D75">
      <w:pPr>
        <w:pStyle w:val="BillDots"/>
      </w:pPr>
    </w:p>
    <w:p w:rsidR="00312D75" w:rsidRDefault="00485C3A" w:rsidP="00312D75">
      <w:pPr>
        <w:pStyle w:val="BillDots"/>
      </w:pPr>
      <w:r>
        <w:t>COMMITTEE AMENDMENT ADOPTED</w:t>
      </w:r>
    </w:p>
    <w:p w:rsidR="00312D75" w:rsidRDefault="00485C3A" w:rsidP="00312D75">
      <w:pPr>
        <w:pStyle w:val="BillDots"/>
      </w:pPr>
      <w:r>
        <w:t>May 31</w:t>
      </w:r>
      <w:r w:rsidR="00312D75">
        <w:t>, 2012</w:t>
      </w:r>
    </w:p>
    <w:p w:rsidR="00312D75" w:rsidRDefault="00312D75" w:rsidP="00312D75">
      <w:pPr>
        <w:pStyle w:val="BillDots"/>
      </w:pP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312D75" w:rsidRDefault="00312D75" w:rsidP="00312D75">
      <w:pPr>
        <w:pStyle w:val="BillDots"/>
      </w:pPr>
    </w:p>
    <w:p w:rsidR="00312D75" w:rsidRDefault="00312D75" w:rsidP="00312D75">
      <w:pPr>
        <w:pStyle w:val="BillDots"/>
      </w:pPr>
      <w:r>
        <w:t>Introduced by Reps. Funderburk, Harrison, Brantley, McLeod, Butler Garrick, Munnerlyn, Taylor, J.H. Neal, Dillard, Bannister, G.R. Smith, Bowers, Cobb</w:t>
      </w:r>
      <w:r>
        <w:noBreakHyphen/>
        <w:t>Hunter, Delleney, Hixon, Long, Pope and Young</w:t>
      </w:r>
    </w:p>
    <w:p w:rsidR="00312D75" w:rsidRDefault="00312D75" w:rsidP="00312D75">
      <w:pPr>
        <w:pStyle w:val="BillDots"/>
      </w:pPr>
    </w:p>
    <w:p w:rsidR="00312D75" w:rsidRDefault="00485C3A" w:rsidP="00DD6189">
      <w:pPr>
        <w:pStyle w:val="BillDots"/>
        <w:tabs>
          <w:tab w:val="clear" w:pos="216"/>
          <w:tab w:val="clear" w:pos="432"/>
          <w:tab w:val="clear" w:pos="648"/>
          <w:tab w:val="clear" w:pos="864"/>
          <w:tab w:val="clear" w:pos="1080"/>
          <w:tab w:val="clear" w:pos="1296"/>
          <w:tab w:val="clear" w:pos="5904"/>
          <w:tab w:val="right" w:pos="5933"/>
        </w:tabs>
      </w:pPr>
      <w:r>
        <w:t>S. Printed 5/31</w:t>
      </w:r>
      <w:r w:rsidR="00312D75">
        <w:t>/12--S.</w:t>
      </w:r>
      <w:r w:rsidR="00DD6189">
        <w:tab/>
        <w:t>[SEC 6/1/12 4:26 PM]</w:t>
      </w:r>
    </w:p>
    <w:p w:rsidR="00312D75" w:rsidRDefault="00312D75" w:rsidP="00312D75">
      <w:pPr>
        <w:pStyle w:val="BillDots"/>
      </w:pPr>
      <w:r>
        <w:t>Read the first time April 24, 2012.</w:t>
      </w:r>
    </w:p>
    <w:p w:rsidR="00312D75" w:rsidRPr="00312D75" w:rsidRDefault="00312D75" w:rsidP="00312D75">
      <w:pPr>
        <w:pStyle w:val="BillDots"/>
        <w:jc w:val="center"/>
      </w:pPr>
      <w:r>
        <w:rPr>
          <w:u w:val="single"/>
        </w:rPr>
        <w:t>            </w:t>
      </w:r>
    </w:p>
    <w:p w:rsidR="00312D75" w:rsidRDefault="00312D75" w:rsidP="00312D75">
      <w:pPr>
        <w:pStyle w:val="BillDots"/>
      </w:pPr>
    </w:p>
    <w:p w:rsidR="00312D75" w:rsidRPr="00312D75" w:rsidRDefault="00312D75" w:rsidP="00312D75">
      <w:pPr>
        <w:pStyle w:val="BillDots"/>
        <w:tabs>
          <w:tab w:val="clear" w:pos="216"/>
          <w:tab w:val="clear" w:pos="432"/>
          <w:tab w:val="clear" w:pos="648"/>
          <w:tab w:val="clear" w:pos="864"/>
          <w:tab w:val="clear" w:pos="1080"/>
          <w:tab w:val="clear" w:pos="1296"/>
          <w:tab w:val="clear" w:pos="5904"/>
          <w:tab w:val="left" w:pos="3024"/>
        </w:tabs>
      </w:pPr>
    </w:p>
    <w:p w:rsidR="00312D75" w:rsidRDefault="00312D75" w:rsidP="001D7F4F">
      <w:pPr>
        <w:pStyle w:val="BillDots"/>
      </w:pPr>
    </w:p>
    <w:p w:rsidR="00312D75" w:rsidRDefault="00312D75" w:rsidP="001D7F4F">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485C3A" w:rsidRDefault="00485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B26">
        <w:t>SECTION</w:t>
      </w:r>
      <w:r w:rsidRPr="00E03B26">
        <w:tab/>
        <w:t>1.</w:t>
      </w:r>
      <w:r w:rsidRPr="00E03B26">
        <w:tab/>
        <w:t xml:space="preserve">Section 7-5-170(1) of the 1976 Code is amended to read: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03B26">
        <w:rPr>
          <w:color w:val="000000"/>
        </w:rPr>
        <w:t xml:space="preserve">Written application required. </w:t>
      </w:r>
      <w:r w:rsidRPr="00E03B26">
        <w:rPr>
          <w:color w:val="000000"/>
        </w:rPr>
        <w:noBreakHyphen/>
      </w:r>
      <w:r w:rsidRPr="00E03B26">
        <w:rPr>
          <w:color w:val="000000"/>
        </w:rPr>
        <w:noBreakHyphen/>
        <w:t xml:space="preserve">No person may be registered to vote except upon written application </w:t>
      </w:r>
      <w:r w:rsidRPr="00E03B26">
        <w:rPr>
          <w:color w:val="000000"/>
          <w:u w:val="single"/>
        </w:rPr>
        <w:t>or electronic application pursuant to Section 7-5-185,</w:t>
      </w:r>
      <w:r w:rsidRPr="00E03B26">
        <w:rPr>
          <w:color w:val="000000"/>
        </w:rPr>
        <w:t xml:space="preserve"> which shall become a part of the permanent records of the board to which it is presented and which must be open to public inspection.  However, the social security number contained in the application </w:t>
      </w:r>
      <w:r w:rsidRPr="00E03B26">
        <w:rPr>
          <w:strike/>
          <w:color w:val="000000"/>
        </w:rPr>
        <w:t>as required by this section</w:t>
      </w:r>
      <w:r w:rsidRPr="00E03B26">
        <w:rPr>
          <w:color w:val="000000"/>
        </w:rPr>
        <w:t xml:space="preserve"> must not be open to public inspection.”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 xml:space="preser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t>2.</w:t>
      </w:r>
      <w:r w:rsidRPr="00E03B26">
        <w:rPr>
          <w:u w:color="000000" w:themeColor="text1"/>
        </w:rPr>
        <w:tab/>
        <w:t xml:space="preserve">Article 3, Chapter 5, Title 7 of the 1976 Code is amended by adding: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“Section 7</w:t>
      </w:r>
      <w:r w:rsidRPr="00E03B26">
        <w:rPr>
          <w:u w:color="000000" w:themeColor="text1"/>
        </w:rPr>
        <w:noBreakHyphen/>
        <w:t>5</w:t>
      </w:r>
      <w:r w:rsidRPr="00E03B26">
        <w:rPr>
          <w:u w:color="000000" w:themeColor="text1"/>
        </w:rPr>
        <w:noBreakHyphen/>
        <w:t>185</w:t>
      </w:r>
      <w:r w:rsidR="00DD6189">
        <w:rPr>
          <w:u w:color="000000" w:themeColor="text1"/>
        </w:rPr>
        <w:t>.</w:t>
      </w:r>
      <w:r w:rsidRPr="00E03B26">
        <w:rPr>
          <w:u w:color="000000" w:themeColor="text1"/>
        </w:rPr>
        <w:tab/>
        <w:t>(A)</w:t>
      </w:r>
      <w:r w:rsidRPr="00E03B26">
        <w:rPr>
          <w:u w:color="000000" w:themeColor="text1"/>
        </w:rPr>
        <w:tab/>
        <w:t xml:space="preserve">A person who is qualified to register to vote and who has a valid South Carolina driver’s license or state identification card issued by the Department of Motor Vehicles </w:t>
      </w:r>
      <w:r w:rsidRPr="00E03B26">
        <w:rPr>
          <w:u w:color="000000" w:themeColor="text1"/>
        </w:rPr>
        <w:lastRenderedPageBreak/>
        <w:t xml:space="preserve">may submit an application for voter registration electronically on the Internet website of the State Election Commission.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(B)(1)</w:t>
      </w:r>
      <w:r w:rsidRPr="00E03B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w:t>
      </w:r>
      <w:r w:rsidRPr="00E03B26">
        <w:rPr>
          <w:u w:color="000000" w:themeColor="text1"/>
        </w:rPr>
        <w:tab/>
        <w:t xml:space="preserve">The applicant shall attest to the truth of the information provided in the application.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 xml:space="preserve">For voter registration purposes, the applicant shall assent to the use of his signature from his driver’s license or state identification card issued by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(4)</w:t>
      </w:r>
      <w:r w:rsidRPr="00E03B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u w:color="000000" w:themeColor="text1"/>
        </w:rPr>
        <w:tab/>
      </w:r>
      <w:r w:rsidRPr="00E03B26">
        <w:rPr>
          <w:u w:color="000000" w:themeColor="text1"/>
        </w:rPr>
        <w:tab/>
        <w:t>(5)</w:t>
      </w:r>
      <w:r w:rsidRPr="00E03B26">
        <w:rPr>
          <w:u w:color="000000" w:themeColor="text1"/>
        </w:rPr>
        <w:tab/>
        <w:t xml:space="preserve">An application submitted pursuant to this section must contain the applicant’s </w:t>
      </w:r>
      <w:r w:rsidRPr="00E03B26">
        <w:rPr>
          <w:color w:val="000000"/>
        </w:rPr>
        <w:t xml:space="preserve">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attest to the following: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  An applicant convicted of fraudulently applying for registration is guilty of perjury and is subject to the penalty for that offense.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(C)</w:t>
      </w:r>
      <w:r w:rsidRPr="00E03B26">
        <w:rPr>
          <w:u w:color="000000" w:themeColor="text1"/>
        </w:rPr>
        <w:tab/>
        <w:t xml:space="preserve">Upon submission of an application pursuant to this section, the electronic voter registration system shall provide immediate verification that the: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(1)</w:t>
      </w:r>
      <w:r w:rsidRPr="00E03B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matches the number for that person’s </w:t>
      </w:r>
      <w:r w:rsidRPr="00E03B26">
        <w:rPr>
          <w:u w:color="000000" w:themeColor="text1"/>
        </w:rPr>
        <w:lastRenderedPageBreak/>
        <w:t xml:space="preserve">driver’s license or state identification card that is on file with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w:t>
      </w:r>
      <w:r w:rsidRPr="00E03B26">
        <w:rPr>
          <w:u w:color="000000" w:themeColor="text1"/>
        </w:rPr>
        <w:tab/>
        <w:t xml:space="preserve">date of birth provided by the applicant matches the date of birth for that person, which is on file with the Department of Motor Vehicles;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 xml:space="preserve">name provided by the applicant matches the name for the person which is on file with the Department of Motor Vehicles; and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(4)</w:t>
      </w:r>
      <w:r w:rsidRPr="00E03B26">
        <w:rPr>
          <w:u w:color="000000" w:themeColor="text1"/>
        </w:rPr>
        <w:tab/>
        <w:t xml:space="preserve">State Election Commission employs security measures to ensure the accuracy and integrity of voter registration applications submitted electronically pursuant to this section.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(D)</w:t>
      </w:r>
      <w:r w:rsidRPr="00E03B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(E)</w:t>
      </w:r>
      <w:r w:rsidRPr="00E03B26">
        <w:rPr>
          <w:u w:color="000000" w:themeColor="text1"/>
        </w:rPr>
        <w:tab/>
        <w:t xml:space="preserve">The State Election Commission may promulgate regulations necessary to effectuate the provisions of this section.”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t>3.</w:t>
      </w:r>
      <w:r w:rsidRPr="00E03B26">
        <w:rPr>
          <w:u w:color="000000" w:themeColor="text1"/>
        </w:rPr>
        <w:tab/>
        <w:t>Article 3, Chapter 5, Title 7 of the 1976 Code is amended by adding:</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t>“Section 7</w:t>
      </w:r>
      <w:r w:rsidRPr="00E03B26">
        <w:rPr>
          <w:u w:color="000000" w:themeColor="text1"/>
        </w:rPr>
        <w:noBreakHyphen/>
        <w:t>5</w:t>
      </w:r>
      <w:r w:rsidRPr="00E03B26">
        <w:rPr>
          <w:u w:color="000000" w:themeColor="text1"/>
        </w:rPr>
        <w:noBreakHyphen/>
        <w:t>186.(A)(1)</w:t>
      </w:r>
      <w:r w:rsidRPr="00E03B26">
        <w:rPr>
          <w:u w:color="000000" w:themeColor="text1"/>
        </w:rPr>
        <w:tab/>
      </w:r>
      <w:r w:rsidRPr="00E03B26">
        <w:rPr>
          <w:u w:color="000000" w:themeColor="text1"/>
        </w:rPr>
        <w:tab/>
        <w:t xml:space="preserve">The State Election Commission shall establish and maintain a statewide voter registration database that shall be administered by the commission and made continuously available to each board of elections and to other agencies as authorized by law.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(2)(a)</w:t>
      </w:r>
      <w:r w:rsidRPr="00E03B26">
        <w:rPr>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w:t>
      </w:r>
      <w:r>
        <w:rPr>
          <w:u w:color="000000" w:themeColor="text1"/>
        </w:rPr>
        <w:t xml:space="preserve"> </w:t>
      </w:r>
      <w:r w:rsidRPr="00E03B26">
        <w:rPr>
          <w:u w:color="000000" w:themeColor="text1"/>
        </w:rPr>
        <w:t xml:space="preserve">The State Election Commission shall ensure that any information or data provided to the State Election Commission </w:t>
      </w:r>
      <w:r w:rsidR="00DD6189">
        <w:rPr>
          <w:u w:color="000000" w:themeColor="text1"/>
        </w:rPr>
        <w:t xml:space="preserve">that </w:t>
      </w:r>
      <w:r w:rsidRPr="00E03B26">
        <w:rPr>
          <w:u w:color="000000" w:themeColor="text1"/>
        </w:rPr>
        <w:t xml:space="preserve">is confidential in the possession of the entity providing the data remains confidential while in the possession of the State Election Commission.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r>
      <w:r w:rsidRPr="00E03B26">
        <w:rPr>
          <w:u w:color="000000" w:themeColor="text1"/>
        </w:rPr>
        <w:tab/>
        <w:t>(b)</w:t>
      </w:r>
      <w:r w:rsidRPr="00E03B26">
        <w:rPr>
          <w:u w:color="000000" w:themeColor="text1"/>
        </w:rPr>
        <w:tab/>
        <w:t xml:space="preserve">Information provided under this division for maintenance of the statewide voter registration database shall not be used to update the name or address of a registered elector. </w:t>
      </w:r>
      <w:r>
        <w:rPr>
          <w:u w:color="000000" w:themeColor="text1"/>
        </w:rPr>
        <w:t xml:space="preserve"> </w:t>
      </w:r>
      <w:r w:rsidRPr="00E03B26">
        <w:rPr>
          <w:u w:color="000000" w:themeColor="text1"/>
        </w:rPr>
        <w:t xml:space="preserve">The </w:t>
      </w:r>
      <w:r w:rsidRPr="00E03B26">
        <w:rPr>
          <w:u w:color="000000" w:themeColor="text1"/>
        </w:rPr>
        <w:lastRenderedPageBreak/>
        <w:t xml:space="preserve">name or address of a registered elector shall only be updated as a result of the elector’s actions in filing a notice of change of name, change of address, or both.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r>
      <w:r w:rsidRPr="00E03B26">
        <w:rPr>
          <w:u w:color="000000" w:themeColor="text1"/>
        </w:rPr>
        <w:tab/>
        <w:t>(c)</w:t>
      </w:r>
      <w:r w:rsidRPr="00E03B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ab/>
      </w:r>
      <w:r w:rsidRPr="00E03B26">
        <w:rPr>
          <w:u w:color="000000" w:themeColor="text1"/>
        </w:rPr>
        <w:tab/>
        <w:t>(3)</w:t>
      </w:r>
      <w:r w:rsidRPr="00E03B26">
        <w:rPr>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w:t>
      </w:r>
      <w:r>
        <w:rPr>
          <w:u w:color="000000" w:themeColor="text1"/>
        </w:rPr>
        <w:t xml:space="preserve"> </w:t>
      </w:r>
      <w:r w:rsidRPr="00E03B26">
        <w:rPr>
          <w:u w:color="000000" w:themeColor="text1"/>
        </w:rPr>
        <w:t xml:space="preserve"> Except as otherwise provided in this division, the commission shall ensure that any information or data provided to the commission that is confidential in the possession of the state providing the data remains confidential while in the possession of the commission. </w:t>
      </w:r>
      <w:r>
        <w:rPr>
          <w:u w:color="000000" w:themeColor="text1"/>
        </w:rPr>
        <w:t xml:space="preserve"> </w:t>
      </w:r>
      <w:r w:rsidRPr="00E03B26">
        <w:rPr>
          <w:u w:color="000000" w:themeColor="text1"/>
        </w:rPr>
        <w:t xml:space="preserve">The commission may provide such otherwise confidential information or data to persons or organizations that are engaging in legitimate governmental purposes related to the maintenance of the statewide voter registration database.”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u w:color="000000" w:themeColor="text1"/>
        </w:rPr>
        <w:t>SECTION</w:t>
      </w:r>
      <w:r w:rsidRPr="00E03B26">
        <w:rPr>
          <w:u w:color="000000" w:themeColor="text1"/>
        </w:rPr>
        <w:tab/>
      </w:r>
      <w:r>
        <w:rPr>
          <w:u w:color="000000" w:themeColor="text1"/>
        </w:rPr>
        <w:t>4.</w:t>
      </w:r>
      <w:r>
        <w:rPr>
          <w:u w:color="000000" w:themeColor="text1"/>
        </w:rPr>
        <w:tab/>
      </w:r>
      <w:r w:rsidRPr="00E03B26">
        <w:rPr>
          <w:u w:color="000000" w:themeColor="text1"/>
        </w:rPr>
        <w:t>Section 7-3-20(C)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6C4492"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03B26">
        <w:rPr>
          <w:color w:val="000000"/>
        </w:rPr>
        <w:tab/>
        <w:t>“(11)</w:t>
      </w:r>
      <w:r w:rsidRPr="00E03B26">
        <w:rPr>
          <w:color w:val="000000"/>
        </w:rPr>
        <w:tab/>
        <w:t xml:space="preserve">serve as the chief state election official responsible for implementing and coordinating the state's responsibilities under the National Voter Registration Act of 1993; </w:t>
      </w:r>
      <w:r w:rsidRPr="006C4492">
        <w:rPr>
          <w:strike/>
          <w:color w:val="000000"/>
        </w:rPr>
        <w:t xml:space="preserve"> and </w:t>
      </w:r>
    </w:p>
    <w:p w:rsidR="00485C3A" w:rsidRPr="006C4492"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3B26">
        <w:rPr>
          <w:color w:val="000000"/>
        </w:rPr>
        <w:tab/>
      </w:r>
      <w:r w:rsidRPr="00E03B26">
        <w:rPr>
          <w:color w:val="000000"/>
        </w:rPr>
        <w:tab/>
        <w:t>(12)</w:t>
      </w:r>
      <w:r w:rsidRPr="00E03B26">
        <w:rPr>
          <w:color w:val="000000"/>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03B26">
        <w:rPr>
          <w:strike/>
          <w:color w:val="000000"/>
        </w:rPr>
        <w:t>.</w:t>
      </w:r>
      <w:r>
        <w:rPr>
          <w:color w:val="000000"/>
          <w:u w:val="single"/>
        </w:rPr>
        <w:t>;  and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3B26">
        <w:rPr>
          <w:color w:val="000000"/>
        </w:rPr>
        <w:tab/>
      </w:r>
      <w:r w:rsidRPr="00E03B26">
        <w:rPr>
          <w:color w:val="000000"/>
        </w:rPr>
        <w:tab/>
      </w:r>
      <w:r w:rsidRPr="00E03B26">
        <w:rPr>
          <w:color w:val="000000"/>
          <w:u w:val="single"/>
        </w:rPr>
        <w:t>(13)</w:t>
      </w:r>
      <w:r w:rsidRPr="00E03B26">
        <w:rPr>
          <w:color w:val="000000"/>
          <w:u w:val="single"/>
        </w:rPr>
        <w:tab/>
      </w:r>
      <w:r w:rsidRPr="00E03B26">
        <w:rPr>
          <w:u w:val="single" w:color="000000" w:themeColor="text1"/>
        </w:rPr>
        <w:t>establish and maintain a statewide voter registration database that shall be administered by the commission and made continuously available to each board of elections and to other agencies as authorized by law.</w:t>
      </w:r>
      <w:r w:rsidRPr="00E03B26">
        <w:rPr>
          <w:u w:color="000000" w:themeColor="text1"/>
        </w:rPr>
        <w:t>”</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5.</w:t>
      </w:r>
      <w:r w:rsidRPr="00E03B26">
        <w:rPr>
          <w:u w:color="000000" w:themeColor="text1"/>
        </w:rPr>
        <w:tab/>
      </w:r>
      <w:r w:rsidRPr="00E03B26">
        <w:rPr>
          <w:snapToGrid w:val="0"/>
        </w:rPr>
        <w:t>Section 7-3-30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E03B26">
        <w:rPr>
          <w:color w:val="000000"/>
        </w:rPr>
        <w:t>“</w:t>
      </w:r>
      <w:r w:rsidRPr="00E03B26">
        <w:rPr>
          <w:snapToGrid w:val="0"/>
        </w:rPr>
        <w:t>Section 7-3-30</w:t>
      </w:r>
      <w:r>
        <w:rPr>
          <w:snapToGrid w:val="0"/>
        </w:rPr>
        <w:t>.</w:t>
      </w:r>
      <w:r w:rsidRPr="00E03B26">
        <w:rPr>
          <w:color w:val="000000"/>
        </w:rPr>
        <w:tab/>
        <w:t>(a)</w:t>
      </w:r>
      <w:r w:rsidRPr="00E03B26">
        <w:rPr>
          <w:color w:val="000000"/>
        </w:rPr>
        <w:tab/>
        <w:t xml:space="preserve">The executive director shall notify by mail each elector at the address last filed in the office, whose name has been deleted </w:t>
      </w:r>
      <w:r w:rsidRPr="00E03B26">
        <w:rPr>
          <w:color w:val="000000"/>
          <w:u w:val="single"/>
        </w:rPr>
        <w:t>for the reasons of conviction or a change in the residence of a qualified voter</w:t>
      </w:r>
      <w:r w:rsidRPr="00E03B26">
        <w:rPr>
          <w:color w:val="000000"/>
        </w:rPr>
        <w:t xml:space="preserve">.  The notice shall state the reason for the deletion and inform the elector of his right to appeal to the county board of registration and the time in which to perfect such appeal.  A copy of such notice shall be forwarded to the appropriate county board of registration.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(b)</w:t>
      </w:r>
      <w:r w:rsidRPr="00E03B26">
        <w:rPr>
          <w:color w:val="000000"/>
        </w:rPr>
        <w:tab/>
        <w:t xml:space="preserve">Each elector whose name has been deleted has twenty days from the date the notice is mailed to appeal.  The appeal must be to the county board of registration from whose master file the deletion has been made.  If the board determines that the elector's name should not have been deleted, it shall instruct the </w:t>
      </w:r>
      <w:r w:rsidRPr="00E03B26">
        <w:rPr>
          <w:strike/>
          <w:color w:val="000000"/>
        </w:rPr>
        <w:t>central registration office</w:t>
      </w:r>
      <w:r w:rsidRPr="00E03B26">
        <w:rPr>
          <w:color w:val="000000"/>
        </w:rPr>
        <w:t xml:space="preserve"> </w:t>
      </w:r>
      <w:r w:rsidR="00DD6189">
        <w:rPr>
          <w:color w:val="000000"/>
          <w:u w:val="single"/>
        </w:rPr>
        <w:t>e</w:t>
      </w:r>
      <w:r w:rsidRPr="00E03B26">
        <w:rPr>
          <w:color w:val="000000"/>
          <w:u w:val="single"/>
        </w:rPr>
        <w:t xml:space="preserve">xecutive </w:t>
      </w:r>
      <w:r w:rsidR="00DD6189">
        <w:rPr>
          <w:color w:val="000000"/>
          <w:u w:val="single"/>
        </w:rPr>
        <w:t>d</w:t>
      </w:r>
      <w:r w:rsidRPr="00E03B26">
        <w:rPr>
          <w:color w:val="000000"/>
          <w:u w:val="single"/>
        </w:rPr>
        <w:t>irector</w:t>
      </w:r>
      <w:r w:rsidRPr="00E03B26">
        <w:rPr>
          <w:color w:val="000000"/>
        </w:rPr>
        <w:t xml:space="preserve"> to restore his name to the registration books; however, if the deletion is for conviction, the appeal must be to the Executive Director of the State Election Commission.”</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6.</w:t>
      </w:r>
      <w:r w:rsidRPr="00E03B26">
        <w:rPr>
          <w:u w:color="000000" w:themeColor="text1"/>
        </w:rPr>
        <w:tab/>
      </w:r>
      <w:r w:rsidRPr="00E03B26">
        <w:rPr>
          <w:snapToGrid w:val="0"/>
        </w:rPr>
        <w:t>Section 7-3-40 of the 1976 Code is amended to read:</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B26">
        <w:rPr>
          <w:color w:val="000000"/>
        </w:rPr>
        <w:tab/>
        <w:t>“</w:t>
      </w:r>
      <w:r w:rsidRPr="00E03B26">
        <w:rPr>
          <w:snapToGrid w:val="0"/>
        </w:rPr>
        <w:t>Section 7-3-40</w:t>
      </w:r>
      <w:r>
        <w:rPr>
          <w:snapToGrid w:val="0"/>
        </w:rPr>
        <w:t>.</w:t>
      </w:r>
      <w:r>
        <w:rPr>
          <w:snapToGrid w:val="0"/>
        </w:rPr>
        <w:tab/>
      </w:r>
      <w:r w:rsidRPr="00E03B26">
        <w:rPr>
          <w:color w:val="000000"/>
        </w:rPr>
        <w:t xml:space="preserve">The Bureau of Vital Statistics must furnish the executive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w:t>
      </w:r>
      <w:r w:rsidRPr="00E03B26">
        <w:rPr>
          <w:strike/>
          <w:color w:val="000000"/>
        </w:rPr>
        <w:t>that</w:t>
      </w:r>
      <w:r w:rsidRPr="00E03B26">
        <w:rPr>
          <w:color w:val="000000"/>
        </w:rPr>
        <w:t xml:space="preserve"> this information </w:t>
      </w:r>
      <w:r w:rsidRPr="00E03B26">
        <w:rPr>
          <w:strike/>
          <w:color w:val="000000"/>
        </w:rPr>
        <w:t>be furnished to it by each county</w:t>
      </w:r>
      <w:r w:rsidRPr="00E03B26">
        <w:rPr>
          <w:color w:val="000000"/>
        </w:rPr>
        <w:t xml:space="preserve"> </w:t>
      </w:r>
      <w:r w:rsidRPr="00E03B26">
        <w:rPr>
          <w:color w:val="000000"/>
          <w:u w:val="single"/>
        </w:rPr>
        <w:t>at no charge</w:t>
      </w:r>
      <w:r w:rsidRPr="00E03B26">
        <w:rPr>
          <w:color w:val="000000"/>
        </w:rPr>
        <w:t xml:space="preser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03B26">
        <w:rPr>
          <w:u w:color="000000" w:themeColor="text1"/>
        </w:rPr>
        <w:t>SECTION</w:t>
      </w:r>
      <w:r w:rsidRPr="00E03B26">
        <w:rPr>
          <w:u w:color="000000" w:themeColor="text1"/>
        </w:rPr>
        <w:tab/>
        <w:t>7.</w:t>
      </w:r>
      <w:r w:rsidRPr="00E03B26">
        <w:rPr>
          <w:u w:color="000000" w:themeColor="text1"/>
        </w:rPr>
        <w:tab/>
        <w:t xml:space="preserve">Chapter 3, Title 7 of the 1976 Code is </w:t>
      </w:r>
      <w:r w:rsidRPr="00E03B26">
        <w:rPr>
          <w:snapToGrid w:val="0"/>
        </w:rPr>
        <w:t>amended by adding:</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600"/>
          <w:tab w:val="left" w:pos="3672"/>
          <w:tab w:val="left" w:pos="3888"/>
          <w:tab w:val="left" w:pos="4104"/>
          <w:tab w:val="left" w:pos="4320"/>
          <w:tab w:val="left" w:pos="4536"/>
          <w:tab w:val="left" w:pos="4752"/>
          <w:tab w:val="left" w:pos="4968"/>
        </w:tabs>
        <w:rPr>
          <w:snapToGrid w:val="0"/>
        </w:rPr>
      </w:pPr>
    </w:p>
    <w:p w:rsidR="00485C3A" w:rsidRPr="006C4492" w:rsidRDefault="00485C3A" w:rsidP="00485C3A">
      <w:pPr>
        <w:tabs>
          <w:tab w:val="left" w:pos="180"/>
          <w:tab w:val="left" w:pos="360"/>
          <w:tab w:val="left" w:pos="540"/>
          <w:tab w:val="left" w:pos="720"/>
          <w:tab w:val="left" w:pos="900"/>
          <w:tab w:val="left" w:pos="1980"/>
          <w:tab w:val="left" w:pos="3600"/>
          <w:tab w:val="left" w:pos="3960"/>
        </w:tabs>
        <w:rPr>
          <w:color w:val="000000"/>
          <w:szCs w:val="24"/>
        </w:rPr>
      </w:pPr>
      <w:r>
        <w:rPr>
          <w:b/>
          <w:color w:val="000000"/>
          <w:szCs w:val="24"/>
        </w:rPr>
        <w:tab/>
      </w:r>
      <w:r w:rsidRPr="009C4B7D">
        <w:rPr>
          <w:color w:val="000000"/>
          <w:szCs w:val="24"/>
        </w:rPr>
        <w:t>“</w:t>
      </w:r>
      <w:r>
        <w:rPr>
          <w:color w:val="000000"/>
          <w:szCs w:val="24"/>
        </w:rPr>
        <w:t>Section 7-3-70</w:t>
      </w:r>
      <w:r w:rsidR="00DD6189">
        <w:rPr>
          <w:color w:val="000000"/>
          <w:szCs w:val="24"/>
        </w:rPr>
        <w:t xml:space="preserve">. </w:t>
      </w:r>
      <w:r w:rsidRPr="006C4492">
        <w:rPr>
          <w:color w:val="000000"/>
        </w:rPr>
        <w:t>(a)</w:t>
      </w:r>
      <w:r>
        <w:rPr>
          <w:color w:val="000000"/>
        </w:rPr>
        <w:tab/>
      </w:r>
      <w:r w:rsidRPr="006C4492">
        <w:rPr>
          <w:color w:val="000000"/>
        </w:rPr>
        <w:t>The Depart</w:t>
      </w:r>
      <w:r w:rsidRPr="006C4492">
        <w:rPr>
          <w:color w:val="000000"/>
          <w:szCs w:val="24"/>
        </w:rPr>
        <w:t>ment of Motor Vehicles must furnish the executive director a monthly report of all persons eighteen years of age or older who have surrendered their driver’s license or identification card and obtained a driver’s license or identification card in another state.  All reports must contain the name of the driver or identification cardholder, social security number, date of birth, South Carolina county where previously a resident</w:t>
      </w:r>
      <w:r w:rsidR="00DD6189">
        <w:rPr>
          <w:color w:val="000000"/>
          <w:szCs w:val="24"/>
        </w:rPr>
        <w:t>,</w:t>
      </w:r>
      <w:r w:rsidRPr="006C4492">
        <w:rPr>
          <w:color w:val="000000"/>
          <w:szCs w:val="24"/>
        </w:rPr>
        <w:t xml:space="preserve"> and the state in which the license or identification card was surrendered.  The department must provide this information at no charge.</w:t>
      </w:r>
    </w:p>
    <w:p w:rsidR="00485C3A" w:rsidRPr="006C4492" w:rsidRDefault="00485C3A" w:rsidP="00485C3A">
      <w:pPr>
        <w:tabs>
          <w:tab w:val="left" w:pos="180"/>
          <w:tab w:val="left" w:pos="360"/>
          <w:tab w:val="left" w:pos="540"/>
          <w:tab w:val="left" w:pos="720"/>
        </w:tabs>
        <w:rPr>
          <w:color w:val="000000"/>
          <w:szCs w:val="24"/>
        </w:rPr>
      </w:pPr>
      <w:r w:rsidRPr="006C4492">
        <w:rPr>
          <w:color w:val="000000"/>
          <w:szCs w:val="24"/>
        </w:rPr>
        <w:lastRenderedPageBreak/>
        <w:tab/>
        <w:t>(b)</w:t>
      </w:r>
      <w:r w:rsidRPr="006C4492">
        <w:rPr>
          <w:color w:val="000000"/>
          <w:szCs w:val="24"/>
        </w:rPr>
        <w:tab/>
        <w:t>The Department of Motor Vehicles must furnish the executive director a monthly report of all persons eighteen years of age or older who were reported as deceased by Social Security Administration.  All reports must contain the name, social security number, date of birth, and date of death.  The department must provide this information at no charge.”</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8.</w:t>
      </w:r>
      <w:r w:rsidRPr="00E03B26">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 </w:t>
      </w:r>
    </w:p>
    <w:p w:rsidR="00485C3A" w:rsidRPr="00E03B26"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99B" w:rsidRPr="00676BB1" w:rsidRDefault="00485C3A" w:rsidP="0048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r>
      <w:r w:rsidRPr="00E03B26">
        <w:rPr>
          <w:u w:color="000000" w:themeColor="text1"/>
        </w:rPr>
        <w:t>9.</w:t>
      </w:r>
      <w:r w:rsidRPr="00E03B26">
        <w:rPr>
          <w:u w:color="000000" w:themeColor="text1"/>
        </w:rPr>
        <w:tab/>
      </w:r>
      <w:r w:rsidRPr="00E03B26">
        <w:rPr>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E03B26">
        <w:rPr>
          <w:color w:val="000000" w:themeColor="text1"/>
          <w:u w:color="000000" w:themeColor="text1"/>
        </w:rPr>
        <w:tab/>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4540E5">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8FAF31-B602-4D63-AD19-A624110F105D}"/>
    <w:embedBold r:id="rId2" w:fontKey="{D3A88728-7B45-4855-9CC9-FE9D395FDF23}"/>
  </w:font>
  <w:font w:name="Calibri">
    <w:panose1 w:val="020F0502020204030204"/>
    <w:charset w:val="00"/>
    <w:family w:val="swiss"/>
    <w:pitch w:val="variable"/>
    <w:sig w:usb0="A00002EF" w:usb1="4000207B" w:usb2="00000000" w:usb3="00000000" w:csb0="0000009F" w:csb1="00000000"/>
    <w:embedRegular r:id="rId3" w:fontKey="{3A9BF0D4-66AF-4F0E-8851-C19D82628B2A}"/>
  </w:font>
  <w:font w:name="Tahoma">
    <w:panose1 w:val="020B0604030504040204"/>
    <w:charset w:val="00"/>
    <w:family w:val="swiss"/>
    <w:pitch w:val="variable"/>
    <w:sig w:usb0="61002A87" w:usb1="80000000" w:usb2="00000008" w:usb3="00000000" w:csb0="000101FF" w:csb1="00000000"/>
    <w:embedRegular r:id="rId4" w:fontKey="{F354CA18-EBC6-4AFB-BA65-CA598904936A}"/>
  </w:font>
  <w:font w:name="Cambria">
    <w:panose1 w:val="02040503050406030204"/>
    <w:charset w:val="00"/>
    <w:family w:val="roman"/>
    <w:pitch w:val="variable"/>
    <w:sig w:usb0="A00002EF" w:usb1="4000004B" w:usb2="00000000" w:usb3="00000000" w:csb0="0000009F" w:csb1="00000000"/>
    <w:embedRegular r:id="rId5" w:fontKey="{E6EE0929-FCB7-4262-A969-AE8B0FB1F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4540E5">
        <w:rPr>
          <w:noProof/>
        </w:rPr>
        <w:t>1</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4540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0F559F"/>
    <w:rsid w:val="001004FB"/>
    <w:rsid w:val="0010776B"/>
    <w:rsid w:val="00133E66"/>
    <w:rsid w:val="001435A3"/>
    <w:rsid w:val="001D08F2"/>
    <w:rsid w:val="001D525B"/>
    <w:rsid w:val="001D7F4F"/>
    <w:rsid w:val="002321B6"/>
    <w:rsid w:val="00250967"/>
    <w:rsid w:val="002543C8"/>
    <w:rsid w:val="00284AAE"/>
    <w:rsid w:val="002E5912"/>
    <w:rsid w:val="00312D75"/>
    <w:rsid w:val="00325348"/>
    <w:rsid w:val="0032732C"/>
    <w:rsid w:val="00336AD0"/>
    <w:rsid w:val="0037079A"/>
    <w:rsid w:val="003D01E8"/>
    <w:rsid w:val="003E5288"/>
    <w:rsid w:val="003F6D79"/>
    <w:rsid w:val="0041760A"/>
    <w:rsid w:val="00417C01"/>
    <w:rsid w:val="00421348"/>
    <w:rsid w:val="004540E5"/>
    <w:rsid w:val="004809EE"/>
    <w:rsid w:val="00485C3A"/>
    <w:rsid w:val="004E7D54"/>
    <w:rsid w:val="005273C6"/>
    <w:rsid w:val="00527D37"/>
    <w:rsid w:val="00530A69"/>
    <w:rsid w:val="00545593"/>
    <w:rsid w:val="00557BBC"/>
    <w:rsid w:val="00573ACE"/>
    <w:rsid w:val="00577C6C"/>
    <w:rsid w:val="005C2FE2"/>
    <w:rsid w:val="005E2BC9"/>
    <w:rsid w:val="00605102"/>
    <w:rsid w:val="006215AA"/>
    <w:rsid w:val="006640AD"/>
    <w:rsid w:val="00685FEA"/>
    <w:rsid w:val="006913C9"/>
    <w:rsid w:val="00694027"/>
    <w:rsid w:val="0069470D"/>
    <w:rsid w:val="00716FFF"/>
    <w:rsid w:val="0072499B"/>
    <w:rsid w:val="00734F00"/>
    <w:rsid w:val="007518E0"/>
    <w:rsid w:val="007A70AE"/>
    <w:rsid w:val="008362E8"/>
    <w:rsid w:val="008A1768"/>
    <w:rsid w:val="008C0C51"/>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8365E"/>
    <w:rsid w:val="00C92819"/>
    <w:rsid w:val="00CC6B7B"/>
    <w:rsid w:val="00CD2089"/>
    <w:rsid w:val="00D73A67"/>
    <w:rsid w:val="00D970A9"/>
    <w:rsid w:val="00DD6189"/>
    <w:rsid w:val="00DF3845"/>
    <w:rsid w:val="00E41911"/>
    <w:rsid w:val="00E837D7"/>
    <w:rsid w:val="00E92EEF"/>
    <w:rsid w:val="00EA5EF7"/>
    <w:rsid w:val="00ED1B00"/>
    <w:rsid w:val="00F24442"/>
    <w:rsid w:val="00F368FF"/>
    <w:rsid w:val="00F50AE3"/>
    <w:rsid w:val="00F55EEB"/>
    <w:rsid w:val="00F67CF1"/>
    <w:rsid w:val="00F840F0"/>
    <w:rsid w:val="00F947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36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D991-6708-4BD8-B942-16376BC9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1841</Words>
  <Characters>10494</Characters>
  <Application>Microsoft Office Word</Application>
  <DocSecurity>0</DocSecurity>
  <Lines>87</Lines>
  <Paragraphs>24</Paragraphs>
  <ScaleCrop>false</ScaleCrop>
  <Company> </Company>
  <LinksUpToDate>false</LinksUpToDate>
  <CharactersWithSpaces>12311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2012-05-31T00:20:00Z</cp:lastPrinted>
  <dcterms:created xsi:type="dcterms:W3CDTF">2012-06-01T20:26:00Z</dcterms:created>
  <dcterms:modified xsi:type="dcterms:W3CDTF">2012-06-01T20:26:00Z</dcterms:modified>
</cp:coreProperties>
</file>