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58F" w:rsidRDefault="0088158F" w:rsidP="0088158F">
      <w:pPr>
        <w:pStyle w:val="BillDots"/>
      </w:pPr>
    </w:p>
    <w:p w:rsidR="0088158F" w:rsidRDefault="0088158F" w:rsidP="0088158F">
      <w:pPr>
        <w:pStyle w:val="Numbersforbill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78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A2" w:rsidRDefault="00EC28A2" w:rsidP="00EC2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rsidR="00140AB1">
        <w:noBreakHyphen/>
      </w:r>
      <w:r>
        <w:t>35</w:t>
      </w:r>
      <w:r w:rsidR="00140AB1">
        <w:noBreakHyphen/>
      </w:r>
      <w:r>
        <w:t>120, AS AMENDED, CODE OF LAWS OF SOUTH CAROLINA, 1976, RELATING TO DISQUALIFICATIONS FOR UNEMPLOYMENT BENEFITS, SO AS TO CHANGE THE BASIS FOR DISQUALIFICATION FOR “CAUSE CONNECTED WITH THE EMPLOYMENT” TO “MISCONDUCT CONNECTED TO THE EMPLOYMENT”, AND TO MAKE CONFORMING CHANGES, TO REDUCE THE MAXIMUM PERIOD OF THIS DISQUALIFICATION TO TWENTY WEEKS, TO DELETE A REQUIREMENT THAT THIS INELIGIBILITY PERIOD MUST BE DETERMINED BY THE DEPARTMENT IN EACH CASE ACCORDING TO THE SERIOUSNESS OF THE CAUSE FOR DISCHARGE, AND TO PROVIDE A FINDING OF DISCHARGE FOR MISCONDUCT MAY NOT BE MADE FOR DISCHARGE RESULTING FROM CIRCUMSTANCES RELATED TO AN EXTREME HARDSHIP, EMERGENCY, OR OTHER EXTRAORDINARY CIRCUMSTANCES.</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8A2">
        <w:t>Section 41</w:t>
      </w:r>
      <w:r w:rsidR="00140AB1">
        <w:noBreakHyphen/>
      </w:r>
      <w:r w:rsidR="00EC28A2">
        <w:t>35</w:t>
      </w:r>
      <w:r w:rsidR="00140AB1">
        <w:noBreakHyphen/>
      </w:r>
      <w:r w:rsidR="00EC28A2">
        <w:t>120(2) of the 1976 Code, as last amended by Act 146 of 2010, is further amended to read:</w:t>
      </w:r>
    </w:p>
    <w:p w:rsidR="00EC28A2" w:rsidRDefault="00EC2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A2" w:rsidRDefault="00EC2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“(2)</w:t>
      </w:r>
      <w:r>
        <w:tab/>
      </w:r>
      <w:r w:rsidRPr="003D2077">
        <w:rPr>
          <w:color w:val="000000"/>
        </w:rPr>
        <w:t xml:space="preserve">Discharge for </w:t>
      </w:r>
      <w:r w:rsidRPr="00EC28A2">
        <w:rPr>
          <w:strike/>
          <w:color w:val="000000"/>
        </w:rPr>
        <w:t>cause</w:t>
      </w:r>
      <w:r w:rsidRPr="003D2077">
        <w:rPr>
          <w:color w:val="000000"/>
        </w:rPr>
        <w:t xml:space="preserve"> </w:t>
      </w:r>
      <w:r>
        <w:rPr>
          <w:color w:val="000000"/>
          <w:u w:val="single"/>
        </w:rPr>
        <w:t>misconduct</w:t>
      </w:r>
      <w:r>
        <w:rPr>
          <w:color w:val="000000"/>
        </w:rPr>
        <w:t xml:space="preserve"> </w:t>
      </w:r>
      <w:r w:rsidRPr="003D2077">
        <w:rPr>
          <w:color w:val="000000"/>
        </w:rPr>
        <w:t xml:space="preserve">connected with the employment.  If the department finds that he has been discharged for </w:t>
      </w:r>
      <w:r w:rsidRPr="00EC28A2">
        <w:rPr>
          <w:strike/>
          <w:color w:val="000000"/>
        </w:rPr>
        <w:t>cause</w:t>
      </w:r>
      <w:r w:rsidRPr="003D2077">
        <w:rPr>
          <w:color w:val="000000"/>
        </w:rPr>
        <w:t xml:space="preserve"> </w:t>
      </w:r>
      <w:r>
        <w:rPr>
          <w:color w:val="000000"/>
          <w:u w:val="single"/>
        </w:rPr>
        <w:t>misconduct</w:t>
      </w:r>
      <w:r>
        <w:rPr>
          <w:color w:val="000000"/>
        </w:rPr>
        <w:t xml:space="preserve"> </w:t>
      </w:r>
      <w:r w:rsidRPr="003D2077">
        <w:rPr>
          <w:color w:val="000000"/>
        </w:rPr>
        <w:t xml:space="preserve">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EC28A2">
        <w:rPr>
          <w:strike/>
          <w:color w:val="000000"/>
        </w:rPr>
        <w:t>not less than five nor more than</w:t>
      </w:r>
      <w:r w:rsidRPr="003D2077">
        <w:rPr>
          <w:color w:val="000000"/>
        </w:rPr>
        <w:t xml:space="preserve"> </w:t>
      </w:r>
      <w:r>
        <w:rPr>
          <w:color w:val="000000"/>
          <w:u w:val="single"/>
        </w:rPr>
        <w:t>for</w:t>
      </w:r>
      <w:r>
        <w:rPr>
          <w:color w:val="000000"/>
        </w:rPr>
        <w:t xml:space="preserve"> </w:t>
      </w:r>
      <w:r w:rsidRPr="003D2077">
        <w:rPr>
          <w:color w:val="000000"/>
        </w:rPr>
        <w:t xml:space="preserve">the next </w:t>
      </w:r>
      <w:r w:rsidRPr="00EC28A2">
        <w:rPr>
          <w:strike/>
          <w:color w:val="000000"/>
        </w:rPr>
        <w:t>twenty</w:t>
      </w:r>
      <w:r w:rsidR="00140AB1">
        <w:rPr>
          <w:strike/>
          <w:color w:val="000000"/>
        </w:rPr>
        <w:noBreakHyphen/>
      </w:r>
      <w:r w:rsidRPr="00EC28A2">
        <w:rPr>
          <w:strike/>
          <w:color w:val="000000"/>
        </w:rPr>
        <w:t>six</w:t>
      </w:r>
      <w:r w:rsidRPr="003D2077">
        <w:rPr>
          <w:color w:val="000000"/>
        </w:rPr>
        <w:t xml:space="preserve"> </w:t>
      </w:r>
      <w:r>
        <w:rPr>
          <w:color w:val="000000"/>
          <w:u w:val="single"/>
        </w:rPr>
        <w:t>twenty</w:t>
      </w:r>
      <w:r>
        <w:rPr>
          <w:color w:val="000000"/>
        </w:rPr>
        <w:t xml:space="preserve"> </w:t>
      </w:r>
      <w:r w:rsidRPr="003D2077">
        <w:rPr>
          <w:color w:val="000000"/>
        </w:rPr>
        <w:t xml:space="preserve">weeks, in addition to the waiting period, with a </w:t>
      </w:r>
      <w:r w:rsidRPr="003D2077">
        <w:rPr>
          <w:color w:val="000000"/>
        </w:rPr>
        <w:lastRenderedPageBreak/>
        <w:t>corresponding and mandatory reduction of the insured worker</w:t>
      </w:r>
      <w:r w:rsidR="00140AB1" w:rsidRPr="00140AB1">
        <w:rPr>
          <w:color w:val="000000"/>
        </w:rPr>
        <w:t>’</w:t>
      </w:r>
      <w:r w:rsidRPr="003D2077">
        <w:rPr>
          <w:color w:val="000000"/>
        </w:rPr>
        <w:t xml:space="preserve">s benefits to be calculated by multiplying his weekly benefit amount by the number of weeks of his disqualification.  </w:t>
      </w:r>
      <w:r w:rsidRPr="00EC28A2">
        <w:rPr>
          <w:strike/>
          <w:color w:val="000000"/>
        </w:rPr>
        <w:t>The ineligibility period must be determined by the department in each case according to the seriousness of the cause for discharge.</w:t>
      </w:r>
      <w:r w:rsidRPr="003D2077">
        <w:rPr>
          <w:color w:val="000000"/>
        </w:rPr>
        <w:t xml:space="preserve">  A </w:t>
      </w:r>
      <w:r w:rsidRPr="00EC28A2">
        <w:rPr>
          <w:strike/>
          <w:color w:val="000000"/>
        </w:rPr>
        <w:t>charge</w:t>
      </w:r>
      <w:r w:rsidRPr="003D2077">
        <w:rPr>
          <w:color w:val="000000"/>
        </w:rPr>
        <w:t xml:space="preserve"> </w:t>
      </w:r>
      <w:r>
        <w:rPr>
          <w:color w:val="000000"/>
          <w:u w:val="single"/>
        </w:rPr>
        <w:t>finding</w:t>
      </w:r>
      <w:r>
        <w:rPr>
          <w:color w:val="000000"/>
        </w:rPr>
        <w:t xml:space="preserve"> </w:t>
      </w:r>
      <w:r w:rsidRPr="003D2077">
        <w:rPr>
          <w:color w:val="000000"/>
        </w:rPr>
        <w:t xml:space="preserve">of discharge for </w:t>
      </w:r>
      <w:r w:rsidRPr="00EC28A2">
        <w:rPr>
          <w:strike/>
          <w:color w:val="000000"/>
        </w:rPr>
        <w:t>cause connected with the employment</w:t>
      </w:r>
      <w:r w:rsidRPr="003D2077">
        <w:rPr>
          <w:color w:val="000000"/>
        </w:rPr>
        <w:t xml:space="preserve"> </w:t>
      </w:r>
      <w:r>
        <w:rPr>
          <w:color w:val="000000"/>
          <w:u w:val="single"/>
        </w:rPr>
        <w:t>misconduct</w:t>
      </w:r>
      <w:r>
        <w:rPr>
          <w:color w:val="000000"/>
        </w:rPr>
        <w:t xml:space="preserve"> </w:t>
      </w:r>
      <w:r w:rsidRPr="003D2077">
        <w:rPr>
          <w:color w:val="000000"/>
        </w:rPr>
        <w:t xml:space="preserve">may not be made for </w:t>
      </w:r>
      <w:r w:rsidRPr="00EC28A2">
        <w:rPr>
          <w:strike/>
          <w:color w:val="000000"/>
        </w:rPr>
        <w:t>failure to meet production requirements unless the failure is occasioned by wilful failure or neglect of duty</w:t>
      </w:r>
      <w:r>
        <w:rPr>
          <w:color w:val="000000"/>
        </w:rPr>
        <w:t xml:space="preserve"> </w:t>
      </w:r>
      <w:r>
        <w:rPr>
          <w:color w:val="000000"/>
          <w:u w:val="single"/>
        </w:rPr>
        <w:t>discharge resulting from circumstances related to an extreme hardship, emergency, or other extraordinary circumstance</w:t>
      </w:r>
      <w:r w:rsidRPr="003D2077">
        <w:rPr>
          <w:color w:val="000000"/>
        </w:rPr>
        <w:t xml:space="preserve">.  </w:t>
      </w:r>
      <w:r w:rsidR="00140AB1" w:rsidRPr="00140AB1">
        <w:rPr>
          <w:color w:val="000000"/>
        </w:rPr>
        <w:t>‘</w:t>
      </w:r>
      <w:r w:rsidRPr="00EC28A2">
        <w:rPr>
          <w:strike/>
          <w:color w:val="000000"/>
        </w:rPr>
        <w:t>Cause</w:t>
      </w:r>
      <w:r w:rsidRPr="003D2077">
        <w:rPr>
          <w:color w:val="000000"/>
        </w:rPr>
        <w:t xml:space="preserve"> </w:t>
      </w:r>
      <w:r w:rsidR="00140AB1">
        <w:rPr>
          <w:color w:val="000000"/>
          <w:u w:val="single"/>
        </w:rPr>
        <w:t>Misconduct</w:t>
      </w:r>
      <w:r>
        <w:rPr>
          <w:color w:val="000000"/>
        </w:rPr>
        <w:t xml:space="preserve"> </w:t>
      </w:r>
      <w:r w:rsidRPr="003D2077">
        <w:rPr>
          <w:color w:val="000000"/>
        </w:rPr>
        <w:t>connected with the employment</w:t>
      </w:r>
      <w:r w:rsidR="00140AB1" w:rsidRPr="00140AB1">
        <w:rPr>
          <w:color w:val="000000"/>
        </w:rPr>
        <w:t>’</w:t>
      </w:r>
      <w:r w:rsidRPr="003D2077">
        <w:rPr>
          <w:color w:val="000000"/>
        </w:rPr>
        <w:t xml:space="preserve"> as used in this item requires more than a failure in good performance of the employee as the result of inability or incapacity.</w:t>
      </w:r>
      <w:r>
        <w:rPr>
          <w:color w:val="000000"/>
        </w:rPr>
        <w:t>”</w:t>
      </w:r>
    </w:p>
    <w:p w:rsidR="003C5EA5" w:rsidRDefault="003C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5EA5" w:rsidRDefault="003C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EA5">
        <w:t>3</w:t>
      </w:r>
      <w:r>
        <w:t>.</w:t>
      </w:r>
      <w:r>
        <w:tab/>
        <w:t>This act takes effect upon approval by the Governor.</w:t>
      </w:r>
    </w:p>
    <w:p w:rsidR="00485E54" w:rsidRDefault="00140A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E54" w:rsidRDefault="00485E54" w:rsidP="00485E54">
      <w:pPr>
        <w:suppressAutoHyphens/>
      </w:pPr>
    </w:p>
    <w:sectPr w:rsidR="00485E54" w:rsidSect="00485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8C9" w:rsidRDefault="004378C9" w:rsidP="009F0C77">
      <w:r>
        <w:separator/>
      </w:r>
    </w:p>
  </w:endnote>
  <w:endnote w:type="continuationSeparator" w:id="0">
    <w:p w:rsidR="004378C9" w:rsidRDefault="004378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31C099-789D-4506-A7BB-D30A7CC432A7}"/>
    <w:embedBold r:id="rId2" w:fontKey="{FAABC872-E76B-4BF1-9D41-901EA8B2545D}"/>
  </w:font>
  <w:font w:name="Calibri">
    <w:panose1 w:val="020F0502020204030204"/>
    <w:charset w:val="00"/>
    <w:family w:val="swiss"/>
    <w:pitch w:val="variable"/>
    <w:sig w:usb0="A00002EF" w:usb1="4000207B" w:usb2="00000000" w:usb3="00000000" w:csb0="0000009F" w:csb1="00000000"/>
    <w:embedRegular r:id="rId3" w:fontKey="{D0CE09FB-09CB-4254-A1D9-2476868CD2E9}"/>
  </w:font>
  <w:font w:name="Cambria">
    <w:panose1 w:val="02040503050406030204"/>
    <w:charset w:val="00"/>
    <w:family w:val="roman"/>
    <w:pitch w:val="variable"/>
    <w:sig w:usb0="A00002EF" w:usb1="4000004B" w:usb2="00000000" w:usb3="00000000" w:csb0="0000009F" w:csb1="00000000"/>
    <w:embedRegular r:id="rId4" w:fontKey="{31EF2599-C55D-461A-9EF2-9B800B408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549" w:rsidRPr="00485E54" w:rsidRDefault="00485E54" w:rsidP="00485E54">
    <w:pPr>
      <w:pStyle w:val="Footer"/>
      <w:tabs>
        <w:tab w:val="clear" w:pos="4680"/>
        <w:tab w:val="clear" w:pos="9360"/>
        <w:tab w:val="center" w:pos="2995"/>
      </w:tabs>
      <w:spacing w:before="120"/>
    </w:pPr>
    <w:r>
      <w:t>[4982]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8C9" w:rsidRDefault="004378C9" w:rsidP="009F0C77">
      <w:r>
        <w:separator/>
      </w:r>
    </w:p>
  </w:footnote>
  <w:footnote w:type="continuationSeparator" w:id="0">
    <w:p w:rsidR="004378C9" w:rsidRDefault="004378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1AB12"/>
    <w:docVar w:name="CoverBillType" w:val="b"/>
    <w:docVar w:name="docpath" w:val="L:\Council\bills\AGM\19481AB12.DOCX"/>
    <w:docVar w:name="dvBillNumber" w:val="4982"/>
    <w:docVar w:name="dvBillNumberPrefix" w:val="H. "/>
    <w:docVar w:name="dvOriginalBody" w:val="House"/>
    <w:docVar w:name="dvSteno" w:val="AGM"/>
    <w:docVar w:name="NameofBody" w:val="h"/>
    <w:docVar w:name="vgroup2" w:val="Council"/>
  </w:docVars>
  <w:rsids>
    <w:rsidRoot w:val="00FC1B89"/>
    <w:rsid w:val="00011869"/>
    <w:rsid w:val="00016549"/>
    <w:rsid w:val="000E1785"/>
    <w:rsid w:val="000F40FA"/>
    <w:rsid w:val="0010776B"/>
    <w:rsid w:val="00131167"/>
    <w:rsid w:val="00133E66"/>
    <w:rsid w:val="00140AB1"/>
    <w:rsid w:val="001435A3"/>
    <w:rsid w:val="001D08F2"/>
    <w:rsid w:val="001D3017"/>
    <w:rsid w:val="001D525B"/>
    <w:rsid w:val="001D7F4F"/>
    <w:rsid w:val="002321B6"/>
    <w:rsid w:val="00250967"/>
    <w:rsid w:val="002543C8"/>
    <w:rsid w:val="00284AAE"/>
    <w:rsid w:val="002E5912"/>
    <w:rsid w:val="00325348"/>
    <w:rsid w:val="0032732C"/>
    <w:rsid w:val="00336AD0"/>
    <w:rsid w:val="0037079A"/>
    <w:rsid w:val="003C5EA5"/>
    <w:rsid w:val="003D01E8"/>
    <w:rsid w:val="003E5288"/>
    <w:rsid w:val="003F6D79"/>
    <w:rsid w:val="0041760A"/>
    <w:rsid w:val="00417C01"/>
    <w:rsid w:val="004378C9"/>
    <w:rsid w:val="004809EE"/>
    <w:rsid w:val="00485E5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158F"/>
    <w:rsid w:val="008A1768"/>
    <w:rsid w:val="008F4429"/>
    <w:rsid w:val="0094021A"/>
    <w:rsid w:val="009C6A0B"/>
    <w:rsid w:val="009F0C77"/>
    <w:rsid w:val="009F347E"/>
    <w:rsid w:val="009F4DD1"/>
    <w:rsid w:val="00A41684"/>
    <w:rsid w:val="00A61365"/>
    <w:rsid w:val="00A64E80"/>
    <w:rsid w:val="00A72BCD"/>
    <w:rsid w:val="00A741D9"/>
    <w:rsid w:val="00A833AB"/>
    <w:rsid w:val="00A9741D"/>
    <w:rsid w:val="00AD4B17"/>
    <w:rsid w:val="00B412D4"/>
    <w:rsid w:val="00B704F0"/>
    <w:rsid w:val="00BE3C22"/>
    <w:rsid w:val="00C0345E"/>
    <w:rsid w:val="00C3483A"/>
    <w:rsid w:val="00C74E9D"/>
    <w:rsid w:val="00C82FD3"/>
    <w:rsid w:val="00C92819"/>
    <w:rsid w:val="00CC6B7B"/>
    <w:rsid w:val="00CD2089"/>
    <w:rsid w:val="00D73A67"/>
    <w:rsid w:val="00D970A9"/>
    <w:rsid w:val="00DF3845"/>
    <w:rsid w:val="00E41911"/>
    <w:rsid w:val="00E92EEF"/>
    <w:rsid w:val="00EC28A2"/>
    <w:rsid w:val="00F0090F"/>
    <w:rsid w:val="00F24442"/>
    <w:rsid w:val="00F50AE3"/>
    <w:rsid w:val="00F67CF1"/>
    <w:rsid w:val="00F840F0"/>
    <w:rsid w:val="00FB0D0D"/>
    <w:rsid w:val="00FB43B4"/>
    <w:rsid w:val="00FC1B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AF29E-3184-4B55-984B-27D8AB7F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2708</Characters>
  <Application>Microsoft Office Word</Application>
  <DocSecurity>0</DocSecurity>
  <Lines>22</Lines>
  <Paragraphs>6</Paragraphs>
  <ScaleCrop>false</ScaleCrop>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2012-03-08T16:25:00Z</dcterms:created>
  <dcterms:modified xsi:type="dcterms:W3CDTF">2012-03-08T16:25:00Z</dcterms:modified>
</cp:coreProperties>
</file>