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16</w:t>
      </w:r>
      <w:r>
        <w:noBreakHyphen/>
        <w:t>17</w:t>
      </w:r>
      <w:r>
        <w:noBreakHyphen/>
        <w:t>681 SO AS TO PROHIBIT THE PURCHASE OF CERTAIN METALS BY A SECONDARY METALS RECYCLER, PROVIDE EXCEPTIONS, AND PROVIDE A PENALTY; AND TO AMEND SECTION 16</w:t>
      </w:r>
      <w:r>
        <w:noBreakHyphen/>
        <w:t>17</w:t>
      </w:r>
      <w:r>
        <w:noBreakHyphen/>
        <w:t>680, AS AMENDED, RELATING TO THE PURCHASE OF NONFERROUS METALS, SO AS TO AMEND THE DEFINITION OF “NONFERROUS METALS”, AND FURTHER REGULATE THE PURCHASE OF NONFERROUS METALS.</w:t>
      </w:r>
    </w:p>
    <w:p w:rsidR="00821511" w:rsidRDefault="0082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21511" w:rsidRDefault="0082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1511" w:rsidRDefault="0082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17, Title 16 of the 1976 Code is amended by adding:</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16</w:t>
      </w:r>
      <w:r>
        <w:noBreakHyphen/>
        <w:t>17</w:t>
      </w:r>
      <w:r>
        <w:noBreakHyphen/>
        <w:t>681.</w:t>
      </w:r>
      <w:r>
        <w:tab/>
        <w:t>(A)</w:t>
      </w:r>
      <w:r>
        <w:tab/>
        <w:t>Notwithstanding the provisions of Section 16</w:t>
      </w:r>
      <w:r>
        <w:noBreakHyphen/>
        <w:t>17</w:t>
      </w:r>
      <w:r>
        <w:noBreakHyphen/>
        <w:t>680, a</w:t>
      </w:r>
      <w:r w:rsidRPr="003417A1">
        <w:rPr>
          <w:color w:val="000000" w:themeColor="text1"/>
          <w:u w:color="000000" w:themeColor="text1"/>
        </w:rPr>
        <w:t xml:space="preserve"> </w:t>
      </w:r>
      <w:r>
        <w:rPr>
          <w:color w:val="000000" w:themeColor="text1"/>
          <w:u w:color="000000" w:themeColor="text1"/>
        </w:rPr>
        <w:t>secondary metals recycler may</w:t>
      </w:r>
      <w:r w:rsidRPr="003417A1">
        <w:rPr>
          <w:color w:val="000000" w:themeColor="text1"/>
          <w:u w:color="000000" w:themeColor="text1"/>
        </w:rPr>
        <w:t xml:space="preserve"> not knowingly purchase the following types of scrap metal in its original manufactured form:</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m</w:t>
      </w:r>
      <w:r w:rsidRPr="003417A1">
        <w:rPr>
          <w:color w:val="000000" w:themeColor="text1"/>
          <w:u w:color="000000" w:themeColor="text1"/>
        </w:rPr>
        <w:t>etal manhole covers that are used to cover street or alley service personnel access entrances to municipal sewers and storm drains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2</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valves or fittings that are commonly used on structures for access to water for the purpose of extinguishing fires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3</w:t>
      </w:r>
      <w:r>
        <w:rPr>
          <w:color w:val="000000" w:themeColor="text1"/>
          <w:u w:color="000000" w:themeColor="text1"/>
        </w:rPr>
        <w:t>)</w:t>
      </w:r>
      <w:r>
        <w:rPr>
          <w:color w:val="000000" w:themeColor="text1"/>
          <w:u w:color="000000" w:themeColor="text1"/>
        </w:rPr>
        <w:tab/>
        <w:t>b</w:t>
      </w:r>
      <w:r w:rsidRPr="003417A1">
        <w:rPr>
          <w:color w:val="000000" w:themeColor="text1"/>
          <w:u w:color="000000" w:themeColor="text1"/>
        </w:rPr>
        <w:t>rass or bronze commercial potable water backflow preventer valves that are valves commonly used to prevent backflow of potable water into municipal domestic water service systems from commercial structures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4</w:t>
      </w:r>
      <w:r>
        <w:rPr>
          <w:color w:val="000000" w:themeColor="text1"/>
          <w:u w:color="000000" w:themeColor="text1"/>
        </w:rPr>
        <w:t>)</w:t>
      </w:r>
      <w:r>
        <w:rPr>
          <w:color w:val="000000" w:themeColor="text1"/>
          <w:u w:color="000000" w:themeColor="text1"/>
        </w:rPr>
        <w:tab/>
        <w:t>w</w:t>
      </w:r>
      <w:r w:rsidRPr="003417A1">
        <w:rPr>
          <w:color w:val="000000" w:themeColor="text1"/>
          <w:u w:color="000000" w:themeColor="text1"/>
        </w:rPr>
        <w:t>ater meters that are used for measurement of the use and consumption of domestic water</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t>a</w:t>
      </w:r>
      <w:r w:rsidRPr="003417A1">
        <w:rPr>
          <w:color w:val="000000" w:themeColor="text1"/>
          <w:u w:color="000000" w:themeColor="text1"/>
        </w:rPr>
        <w:t>luminum trench shoring that is commonly used for shoring below ground trenches and excavations for the construction of buildings and structures</w:t>
      </w:r>
      <w:r>
        <w:rPr>
          <w:color w:val="000000" w:themeColor="text1"/>
          <w:u w:color="000000" w:themeColor="text1"/>
        </w:rPr>
        <w:t>;</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6</w:t>
      </w:r>
      <w:r>
        <w:rPr>
          <w:color w:val="000000" w:themeColor="text1"/>
          <w:u w:color="000000" w:themeColor="text1"/>
        </w:rPr>
        <w:t>)</w:t>
      </w:r>
      <w:r>
        <w:rPr>
          <w:color w:val="000000" w:themeColor="text1"/>
          <w:u w:color="000000" w:themeColor="text1"/>
        </w:rPr>
        <w:tab/>
        <w:t>a</w:t>
      </w:r>
      <w:r w:rsidRPr="003417A1">
        <w:rPr>
          <w:color w:val="000000" w:themeColor="text1"/>
          <w:u w:color="000000" w:themeColor="text1"/>
        </w:rPr>
        <w:t>luminum loading ramps that are manufactured and used for loading motor vehicles</w:t>
      </w:r>
      <w:r>
        <w:rPr>
          <w:color w:val="000000" w:themeColor="text1"/>
          <w:u w:color="000000" w:themeColor="text1"/>
        </w:rPr>
        <w:t xml:space="preserve"> for hauling the motor vehicles;</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w:t>
      </w:r>
      <w:r w:rsidRPr="003417A1">
        <w:rPr>
          <w:color w:val="000000" w:themeColor="text1"/>
          <w:u w:color="000000" w:themeColor="text1"/>
        </w:rPr>
        <w:t>luminum or stainless steel beer or malt beverage kegs that are commonly used by brewers or producers for the sale and transportation of beer or malt beverages</w:t>
      </w:r>
      <w:r>
        <w:rPr>
          <w:color w:val="000000" w:themeColor="text1"/>
          <w:u w:color="000000" w:themeColor="text1"/>
        </w:rPr>
        <w:t>; or</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3417A1">
        <w:rPr>
          <w:color w:val="000000" w:themeColor="text1"/>
          <w:u w:color="000000" w:themeColor="text1"/>
        </w:rPr>
        <w:t>8</w:t>
      </w:r>
      <w:r>
        <w:rPr>
          <w:color w:val="000000" w:themeColor="text1"/>
          <w:u w:color="000000" w:themeColor="text1"/>
        </w:rPr>
        <w:t>)</w:t>
      </w:r>
      <w:r>
        <w:rPr>
          <w:color w:val="000000" w:themeColor="text1"/>
          <w:u w:color="000000" w:themeColor="text1"/>
        </w:rPr>
        <w:tab/>
        <w:t>c</w:t>
      </w:r>
      <w:r w:rsidRPr="003417A1">
        <w:rPr>
          <w:color w:val="000000" w:themeColor="text1"/>
          <w:u w:color="000000" w:themeColor="text1"/>
        </w:rPr>
        <w:t xml:space="preserve">atalytic converters. For the purposes of this </w:t>
      </w:r>
      <w:r>
        <w:rPr>
          <w:color w:val="000000" w:themeColor="text1"/>
          <w:u w:color="000000" w:themeColor="text1"/>
        </w:rPr>
        <w:t>item</w:t>
      </w:r>
      <w:r w:rsidRPr="003417A1">
        <w:rPr>
          <w:color w:val="000000" w:themeColor="text1"/>
          <w:u w:color="000000" w:themeColor="text1"/>
        </w:rPr>
        <w:t xml:space="preserve">, </w:t>
      </w:r>
      <w:r w:rsidRPr="002E3DCF">
        <w:rPr>
          <w:color w:val="000000" w:themeColor="text1"/>
          <w:u w:color="000000" w:themeColor="text1"/>
        </w:rPr>
        <w:t>‘</w:t>
      </w:r>
      <w:r w:rsidRPr="003417A1">
        <w:rPr>
          <w:color w:val="000000" w:themeColor="text1"/>
          <w:u w:color="000000" w:themeColor="text1"/>
        </w:rPr>
        <w:t>catalytic converters</w:t>
      </w:r>
      <w:r w:rsidRPr="002E3DCF">
        <w:rPr>
          <w:color w:val="000000" w:themeColor="text1"/>
          <w:u w:color="000000" w:themeColor="text1"/>
        </w:rPr>
        <w:t>’</w:t>
      </w:r>
      <w:r w:rsidRPr="003417A1">
        <w:rPr>
          <w:color w:val="000000" w:themeColor="text1"/>
          <w:u w:color="000000" w:themeColor="text1"/>
        </w:rPr>
        <w:t xml:space="preserve"> means motor vehicle exhaust system parts that are used for controlling the exhaust emissions from motor vehicles and that contain a catalyst metal.</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3417A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3417A1">
        <w:rPr>
          <w:color w:val="000000" w:themeColor="text1"/>
          <w:u w:color="000000" w:themeColor="text1"/>
        </w:rPr>
        <w:t xml:space="preserve">This section does not apply to or prohibit the purchase or possession of the types of items listed in subsection </w:t>
      </w:r>
      <w:r>
        <w:rPr>
          <w:color w:val="000000" w:themeColor="text1"/>
          <w:u w:color="000000" w:themeColor="text1"/>
        </w:rPr>
        <w:t>(</w:t>
      </w:r>
      <w:r w:rsidRPr="003417A1">
        <w:rPr>
          <w:color w:val="000000" w:themeColor="text1"/>
          <w:u w:color="000000" w:themeColor="text1"/>
        </w:rPr>
        <w:t>A</w:t>
      </w:r>
      <w:r>
        <w:rPr>
          <w:color w:val="000000" w:themeColor="text1"/>
          <w:u w:color="000000" w:themeColor="text1"/>
        </w:rPr>
        <w:t>)</w:t>
      </w:r>
      <w:r w:rsidRPr="003417A1">
        <w:rPr>
          <w:color w:val="000000" w:themeColor="text1"/>
          <w:u w:color="000000" w:themeColor="text1"/>
        </w:rPr>
        <w:t xml:space="preserve"> and that are acquired in transactions with industrial accounts</w:t>
      </w:r>
      <w:r>
        <w:rPr>
          <w:color w:val="000000" w:themeColor="text1"/>
          <w:u w:color="000000" w:themeColor="text1"/>
        </w:rPr>
        <w:t xml:space="preserve"> or with authorized car dealerships.</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 person who violates a provision of this section is subject to the fines and penalties as provided in Section 16</w:t>
      </w:r>
      <w:r>
        <w:rPr>
          <w:color w:val="000000" w:themeColor="text1"/>
          <w:u w:color="000000" w:themeColor="text1"/>
        </w:rPr>
        <w:noBreakHyphen/>
        <w:t>17</w:t>
      </w:r>
      <w:r>
        <w:rPr>
          <w:color w:val="000000" w:themeColor="text1"/>
          <w:u w:color="000000" w:themeColor="text1"/>
        </w:rPr>
        <w:noBreakHyphen/>
        <w:t>680(D).”</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16</w:t>
      </w:r>
      <w:r>
        <w:rPr>
          <w:color w:val="000000" w:themeColor="text1"/>
          <w:u w:color="000000" w:themeColor="text1"/>
        </w:rPr>
        <w:noBreakHyphen/>
        <w:t>17</w:t>
      </w:r>
      <w:r>
        <w:rPr>
          <w:color w:val="000000" w:themeColor="text1"/>
          <w:u w:color="000000" w:themeColor="text1"/>
        </w:rPr>
        <w:noBreakHyphen/>
        <w:t>680 of the 1976 Code, as last amended by Act 26 of 2009, is further amended to read:</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DCF" w:rsidRPr="009A5983"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“Section 16</w:t>
      </w:r>
      <w:r>
        <w:rPr>
          <w:color w:val="000000" w:themeColor="text1"/>
          <w:u w:color="000000" w:themeColor="text1"/>
        </w:rPr>
        <w:noBreakHyphen/>
        <w:t>17</w:t>
      </w:r>
      <w:r>
        <w:rPr>
          <w:color w:val="000000" w:themeColor="text1"/>
          <w:u w:color="000000" w:themeColor="text1"/>
        </w:rPr>
        <w:noBreakHyphen/>
        <w:t>680.</w:t>
      </w:r>
      <w:r>
        <w:rPr>
          <w:color w:val="000000" w:themeColor="text1"/>
          <w:u w:color="000000" w:themeColor="text1"/>
        </w:rPr>
        <w:tab/>
      </w:r>
      <w:r w:rsidRPr="006C297C">
        <w:t>(A)</w:t>
      </w:r>
      <w:r w:rsidRPr="00962B2C">
        <w:rPr>
          <w:strike/>
        </w:rPr>
        <w:t>(1)</w:t>
      </w:r>
      <w:r>
        <w:tab/>
      </w:r>
      <w:r w:rsidRPr="006C297C">
        <w:t>It is unlawful to purchase nonferrous metals in any amount from a person who is not a holder of a retail license or an authorized wholesaler unless the purchaser is a secondary metals recycler and obtains and can verify the name and address of the seller.  A secondary metals recycler shall maintain a record containing the date of purchase, name and address of the seller, a photocopy of the seller</w:t>
      </w:r>
      <w:r w:rsidRPr="002E3DCF">
        <w:t>’</w:t>
      </w:r>
      <w:r w:rsidRPr="006C297C">
        <w:t>s identification, the license plate number of the seller</w:t>
      </w:r>
      <w:r w:rsidRPr="002E3DCF">
        <w:t>’</w:t>
      </w:r>
      <w:r w:rsidRPr="006C297C">
        <w:t>s motor vehicle, the seller</w:t>
      </w:r>
      <w:r w:rsidRPr="002E3DCF">
        <w:t>’</w:t>
      </w:r>
      <w:r w:rsidRPr="006C297C">
        <w:t>s photograph</w:t>
      </w:r>
      <w:r>
        <w:t xml:space="preserve"> </w:t>
      </w:r>
      <w:r>
        <w:rPr>
          <w:u w:val="single"/>
        </w:rPr>
        <w:t>and thumbprint</w:t>
      </w:r>
      <w:r w:rsidRPr="006C297C">
        <w:t>,</w:t>
      </w:r>
      <w:r>
        <w:t xml:space="preserve"> </w:t>
      </w:r>
      <w:r>
        <w:rPr>
          <w:u w:val="single"/>
        </w:rPr>
        <w:t>a clear photograph or video,</w:t>
      </w:r>
      <w:r w:rsidRPr="006C297C">
        <w:t xml:space="preserve">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w:t>
      </w:r>
      <w:r>
        <w:t xml:space="preserve">  </w:t>
      </w:r>
      <w:r>
        <w:rPr>
          <w:u w:val="single"/>
        </w:rPr>
        <w:t xml:space="preserve">Inspection or seizure of the thumbprint required by this subsection only may be by a law enforcement official acting within the scope of his authority in response to a </w:t>
      </w:r>
      <w:r>
        <w:rPr>
          <w:u w:val="single"/>
        </w:rPr>
        <w:lastRenderedPageBreak/>
        <w:t>criminal search warrant signed by a judge of competent jurisdiction and served on the secondary metals recycler by the law enforcement official.  Probable cause for the issuance of the search warrant must be based upon a theft specifically involving the transaction for which the thumbprint was given.</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(B)</w:t>
      </w:r>
      <w:r>
        <w:tab/>
      </w:r>
      <w:r>
        <w:rPr>
          <w:u w:val="single"/>
        </w:rPr>
        <w:t>Payment for nonferrous metals may be made by cash or check, except as otherwise provided in this subsection.  The check may be mailed to the seller at the address provided pursuant to the requirements of subsection (A) on the seller</w:t>
      </w:r>
      <w:r w:rsidRPr="002E3DCF">
        <w:rPr>
          <w:u w:val="single"/>
        </w:rPr>
        <w:t>’</w:t>
      </w:r>
      <w:r>
        <w:rPr>
          <w:u w:val="single"/>
        </w:rPr>
        <w:t>s identification, which may not be a post office box, or the cash or check may be collected by the seller from the secondary metals recycler on or after the third business day after the date of the sale.  However, if the seller prefers to have the check for payment mailed to an alternative address other than the address appearing on his identification, the secondary metals recycler shall obtain a gas or electric bill addressed to the seller at the alternative address with a payment due date no more than two months before the date of the sale in addition to a copy of the seller</w:t>
      </w:r>
      <w:r w:rsidRPr="002E3DCF">
        <w:rPr>
          <w:u w:val="single"/>
        </w:rPr>
        <w:t>’</w:t>
      </w:r>
      <w:r>
        <w:rPr>
          <w:u w:val="single"/>
        </w:rPr>
        <w:t>s identification required pursuant to the provisions of subsection (A).</w:t>
      </w:r>
      <w:r>
        <w:t xml:space="preserve"> </w:t>
      </w:r>
      <w:r w:rsidRPr="00132CF5">
        <w:t xml:space="preserve"> </w:t>
      </w:r>
      <w:r w:rsidRPr="006C297C">
        <w:t xml:space="preserve">A secondary metals recycler may only purchase nonferrous metals for cash consideration from a fixed location.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(C)(1)</w:t>
      </w:r>
      <w:r>
        <w:tab/>
      </w:r>
      <w:r w:rsidRPr="00132CF5">
        <w:rPr>
          <w:strike/>
        </w:rPr>
        <w:t>Whenever</w:t>
      </w:r>
      <w:r>
        <w:t xml:space="preserve"> </w:t>
      </w:r>
      <w:r>
        <w:rPr>
          <w:u w:val="single"/>
        </w:rPr>
        <w:t>When</w:t>
      </w:r>
      <w:r w:rsidRPr="006C297C">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Pr="002E3DCF">
        <w:t>’</w:t>
      </w:r>
      <w:r w:rsidRPr="006C297C">
        <w:t>s place of business for fifteen calendar days after receipt of the notice unless released prior to the fifteen</w:t>
      </w:r>
      <w:r>
        <w:noBreakHyphen/>
      </w:r>
      <w:r w:rsidRPr="006C297C">
        <w:t xml:space="preserve">day period by the law enforcement officer.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No later than the expiration of the fifteen</w:t>
      </w:r>
      <w:r>
        <w:noBreakHyphen/>
      </w:r>
      <w:r w:rsidRPr="006C297C">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w:t>
      </w:r>
      <w:r w:rsidRPr="006C297C">
        <w:lastRenderedPageBreak/>
        <w:t>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2E3DCF">
        <w:t>’</w:t>
      </w:r>
      <w:r w:rsidRPr="006C297C">
        <w:t>s place of business for thirty calendar days after receipt of the extended hold notice unless released prior to the thirty</w:t>
      </w:r>
      <w:r>
        <w:noBreakHyphen/>
      </w:r>
      <w:r w:rsidRPr="006C297C">
        <w:t xml:space="preserve">day period by the law enforcement officer.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(D)</w:t>
      </w:r>
      <w:r>
        <w:tab/>
      </w:r>
      <w:r w:rsidRPr="006C297C">
        <w:t xml:space="preserve">A person who violates the provisions of this section is guilty of a: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 xml:space="preserve">misdemeanor and, upon conviction, must be fined not more than two hundred dollars or imprisoned not more than thirty days for a first offense.  This offense is triable in magistrates court;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misdemeanor and, upon conviction, must be fined not more than five hundred dollars or imprisoned not more than one year, or both, for a second offense;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 xml:space="preserve">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 last offense shall constitute a prior offense within the meaning of this section.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6C297C">
        <w:t xml:space="preserve">For purposes of this section, the only identification acceptable is a: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valid South Carolina driver</w:t>
      </w:r>
      <w:r w:rsidRPr="002E3DCF">
        <w:t>’</w:t>
      </w:r>
      <w:r w:rsidRPr="006C297C">
        <w:t xml:space="preserve">s license;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 xml:space="preserve">South Carolina identification card issued by the Department of Motor Vehicles;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(3)</w:t>
      </w:r>
      <w:r>
        <w:tab/>
      </w:r>
      <w:r w:rsidRPr="006C297C">
        <w:t>valid driver</w:t>
      </w:r>
      <w:r w:rsidRPr="002E3DCF">
        <w:t>’</w:t>
      </w:r>
      <w:r w:rsidRPr="006C297C">
        <w:t>s license from another state that contains the licensee</w:t>
      </w:r>
      <w:r w:rsidRPr="002E3DCF">
        <w:t>’</w:t>
      </w:r>
      <w:r w:rsidRPr="006C297C">
        <w:t xml:space="preserve">s picture on the face of the license;  or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(4)</w:t>
      </w:r>
      <w:r>
        <w:tab/>
      </w:r>
      <w:r w:rsidRPr="006C297C">
        <w:t xml:space="preserve">valid military identification card.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(F)</w:t>
      </w:r>
      <w:r>
        <w:tab/>
      </w:r>
      <w:r w:rsidRPr="006C297C">
        <w:t xml:space="preserve">For purposes of this section: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2E3DCF">
        <w:t>‘</w:t>
      </w:r>
      <w:r w:rsidRPr="006C297C">
        <w:t>Nonferrous metals</w:t>
      </w:r>
      <w:r w:rsidRPr="002E3DCF">
        <w:t>’</w:t>
      </w:r>
      <w:r w:rsidRPr="006C297C">
        <w:t xml:space="preserve"> means metals not containing significant quantities of iron or steel, including copper wire, cooper clad steel wire, copper pipe, copper bars, copper sheeting, aluminum, </w:t>
      </w:r>
      <w:r>
        <w:rPr>
          <w:u w:val="single"/>
        </w:rPr>
        <w:t>or</w:t>
      </w:r>
      <w:r>
        <w:t xml:space="preserve"> </w:t>
      </w:r>
      <w:r w:rsidRPr="006C297C">
        <w:t>a product that is a mixture of aluminum and copper</w:t>
      </w:r>
      <w:r w:rsidRPr="00132CF5">
        <w:rPr>
          <w:strike/>
        </w:rPr>
        <w:t>, catalytic converters, and stainless steel beer kegs or containers</w:t>
      </w:r>
      <w:r>
        <w:t xml:space="preserve"> </w:t>
      </w:r>
      <w:r>
        <w:rPr>
          <w:u w:val="single"/>
        </w:rPr>
        <w:t>and does not include the delineated list of certain metals prohibited by the provisions of Section 16</w:t>
      </w:r>
      <w:r>
        <w:rPr>
          <w:u w:val="single"/>
        </w:rPr>
        <w:noBreakHyphen/>
        <w:t>17</w:t>
      </w:r>
      <w:r>
        <w:rPr>
          <w:u w:val="single"/>
        </w:rPr>
        <w:noBreakHyphen/>
        <w:t>681</w:t>
      </w:r>
      <w:r w:rsidRPr="006C297C">
        <w:t xml:space="preserv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C297C">
        <w:t>(2)</w:t>
      </w:r>
      <w:r>
        <w:tab/>
      </w:r>
      <w:r w:rsidRPr="002E3DCF">
        <w:t>‘</w:t>
      </w:r>
      <w:r w:rsidRPr="006C297C">
        <w:t>Secondary metals recycler</w:t>
      </w:r>
      <w:r w:rsidRPr="002E3DCF">
        <w:t>’</w:t>
      </w:r>
      <w:r w:rsidRPr="006C297C">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6C297C">
        <w:t>3)</w:t>
      </w:r>
      <w:r>
        <w:tab/>
      </w:r>
      <w:r w:rsidRPr="002E3DCF">
        <w:t>‘</w:t>
      </w:r>
      <w:r w:rsidRPr="006C297C">
        <w:t>Fixed location</w:t>
      </w:r>
      <w:r w:rsidRPr="002E3DCF">
        <w:t>’</w:t>
      </w:r>
      <w:r w:rsidRPr="006C297C">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noBreakHyphen/>
      </w:r>
      <w:r w:rsidRPr="006C297C">
        <w:t xml:space="preserve">four days. </w:t>
      </w:r>
    </w:p>
    <w:p w:rsidR="002E3DCF" w:rsidRPr="006C297C"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297C">
        <w:t>(G)</w:t>
      </w:r>
      <w:r>
        <w:tab/>
      </w:r>
      <w:r w:rsidRPr="006C297C">
        <w:t xml:space="preserve">The provisions of this section do not apply to the purchase or sale of aluminum cans. </w:t>
      </w:r>
    </w:p>
    <w:p w:rsidR="002E3DCF" w:rsidRPr="003417A1"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C297C">
        <w:t>(H)</w:t>
      </w:r>
      <w:r>
        <w:tab/>
      </w:r>
      <w:r w:rsidRPr="006C297C">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2E3DCF"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DCF" w:rsidP="002E3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66E8" w:rsidRDefault="002E3D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66E8" w:rsidRDefault="007366E8" w:rsidP="007366E8">
      <w:pPr>
        <w:suppressAutoHyphens/>
      </w:pPr>
    </w:p>
    <w:sectPr w:rsidR="007366E8" w:rsidSect="007366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511" w:rsidRDefault="00821511" w:rsidP="009F0C77">
      <w:r>
        <w:separator/>
      </w:r>
    </w:p>
  </w:endnote>
  <w:endnote w:type="continuationSeparator" w:id="0">
    <w:p w:rsidR="00821511" w:rsidRDefault="008215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9326B3-45DC-48D3-8E2A-647C53DE7371}"/>
    <w:embedBold r:id="rId2" w:fontKey="{557C7820-77DC-4055-8D59-2B4976020973}"/>
  </w:font>
  <w:font w:name="Calibri">
    <w:panose1 w:val="020F0502020204030204"/>
    <w:charset w:val="00"/>
    <w:family w:val="swiss"/>
    <w:pitch w:val="variable"/>
    <w:sig w:usb0="A00002EF" w:usb1="4000207B" w:usb2="00000000" w:usb3="00000000" w:csb0="0000009F" w:csb1="00000000"/>
    <w:embedRegular r:id="rId3" w:fontKey="{A1F02696-E4A0-46C0-B70D-C060B89EBA53}"/>
  </w:font>
  <w:font w:name="Tahoma">
    <w:panose1 w:val="020B0604030504040204"/>
    <w:charset w:val="00"/>
    <w:family w:val="swiss"/>
    <w:pitch w:val="variable"/>
    <w:sig w:usb0="61002A87" w:usb1="80000000" w:usb2="00000008" w:usb3="00000000" w:csb0="000101FF" w:csb1="00000000"/>
    <w:embedRegular r:id="rId4" w:fontKey="{0DEF9BE0-5E31-4BDD-9C37-EBCCB6581D70}"/>
  </w:font>
  <w:font w:name="Cambria">
    <w:panose1 w:val="02040503050406030204"/>
    <w:charset w:val="00"/>
    <w:family w:val="roman"/>
    <w:pitch w:val="variable"/>
    <w:sig w:usb0="A00002EF" w:usb1="4000004B" w:usb2="00000000" w:usb3="00000000" w:csb0="0000009F" w:csb1="00000000"/>
    <w:embedRegular r:id="rId5" w:fontKey="{21612E81-D0D1-4317-B74D-C54EC44B3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A10" w:rsidRPr="007366E8" w:rsidRDefault="007366E8" w:rsidP="007366E8">
    <w:pPr>
      <w:pStyle w:val="Footer"/>
      <w:tabs>
        <w:tab w:val="clear" w:pos="4680"/>
        <w:tab w:val="clear" w:pos="9360"/>
        <w:tab w:val="center" w:pos="2995"/>
      </w:tabs>
      <w:spacing w:before="120"/>
    </w:pPr>
    <w:r>
      <w:t>[672]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511" w:rsidRDefault="00821511" w:rsidP="009F0C77">
      <w:r>
        <w:separator/>
      </w:r>
    </w:p>
  </w:footnote>
  <w:footnote w:type="continuationSeparator" w:id="0">
    <w:p w:rsidR="00821511" w:rsidRDefault="008215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24DG11"/>
    <w:docVar w:name="CoverBillType" w:val="b"/>
    <w:docVar w:name="docpath" w:val="L:\Council\bills\NBD\11424DG11.DOCX"/>
    <w:docVar w:name="dvBillNumber" w:val="672"/>
    <w:docVar w:name="dvBillNumberPrefix" w:val="S. "/>
    <w:docVar w:name="dvOriginalBody" w:val="Senate"/>
    <w:docVar w:name="dvSteno" w:val="NBD"/>
    <w:docVar w:name="NameofBody" w:val="s"/>
    <w:docVar w:name="vgroup2" w:val="Council"/>
  </w:docVars>
  <w:rsids>
    <w:rsidRoot w:val="00C82296"/>
    <w:rsid w:val="00026C9A"/>
    <w:rsid w:val="000965A1"/>
    <w:rsid w:val="000E1785"/>
    <w:rsid w:val="001023A4"/>
    <w:rsid w:val="0010776B"/>
    <w:rsid w:val="00133E66"/>
    <w:rsid w:val="00134ACF"/>
    <w:rsid w:val="00144E15"/>
    <w:rsid w:val="00190A10"/>
    <w:rsid w:val="001A4A62"/>
    <w:rsid w:val="001A681E"/>
    <w:rsid w:val="001D08F2"/>
    <w:rsid w:val="002037CA"/>
    <w:rsid w:val="002047A2"/>
    <w:rsid w:val="002321B6"/>
    <w:rsid w:val="0023696B"/>
    <w:rsid w:val="00250967"/>
    <w:rsid w:val="002759C5"/>
    <w:rsid w:val="00277DEE"/>
    <w:rsid w:val="00280D88"/>
    <w:rsid w:val="00294ABE"/>
    <w:rsid w:val="002A3EB4"/>
    <w:rsid w:val="002E3DCF"/>
    <w:rsid w:val="00325348"/>
    <w:rsid w:val="00393688"/>
    <w:rsid w:val="003D411E"/>
    <w:rsid w:val="003E3C1E"/>
    <w:rsid w:val="003E6148"/>
    <w:rsid w:val="00400EAA"/>
    <w:rsid w:val="0041760A"/>
    <w:rsid w:val="00424439"/>
    <w:rsid w:val="004809EE"/>
    <w:rsid w:val="00511EE9"/>
    <w:rsid w:val="00521E00"/>
    <w:rsid w:val="00577C6C"/>
    <w:rsid w:val="0058501B"/>
    <w:rsid w:val="005A57FC"/>
    <w:rsid w:val="006215AA"/>
    <w:rsid w:val="006340D9"/>
    <w:rsid w:val="00643B8E"/>
    <w:rsid w:val="00665EBC"/>
    <w:rsid w:val="0069470D"/>
    <w:rsid w:val="006A476C"/>
    <w:rsid w:val="006C6A93"/>
    <w:rsid w:val="006E02F9"/>
    <w:rsid w:val="007366E8"/>
    <w:rsid w:val="00753C04"/>
    <w:rsid w:val="00756946"/>
    <w:rsid w:val="00757F80"/>
    <w:rsid w:val="00771EEC"/>
    <w:rsid w:val="00786819"/>
    <w:rsid w:val="007A325A"/>
    <w:rsid w:val="007F1523"/>
    <w:rsid w:val="007F509E"/>
    <w:rsid w:val="007F5799"/>
    <w:rsid w:val="007F6947"/>
    <w:rsid w:val="00821511"/>
    <w:rsid w:val="00872729"/>
    <w:rsid w:val="008F4429"/>
    <w:rsid w:val="009352BB"/>
    <w:rsid w:val="00990668"/>
    <w:rsid w:val="009F0C77"/>
    <w:rsid w:val="009F4DD1"/>
    <w:rsid w:val="00A64E80"/>
    <w:rsid w:val="00A741D9"/>
    <w:rsid w:val="00A9741D"/>
    <w:rsid w:val="00AD4B17"/>
    <w:rsid w:val="00B00031"/>
    <w:rsid w:val="00B26FA6"/>
    <w:rsid w:val="00B741CB"/>
    <w:rsid w:val="00B934F3"/>
    <w:rsid w:val="00BB6347"/>
    <w:rsid w:val="00BD2134"/>
    <w:rsid w:val="00C038D8"/>
    <w:rsid w:val="00C045DD"/>
    <w:rsid w:val="00C3136F"/>
    <w:rsid w:val="00C3483A"/>
    <w:rsid w:val="00C74E9D"/>
    <w:rsid w:val="00C82296"/>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031"/>
    <w:rPr>
      <w:rFonts w:ascii="Tahoma" w:hAnsi="Tahoma" w:cs="Tahoma"/>
      <w:sz w:val="16"/>
      <w:szCs w:val="16"/>
    </w:rPr>
  </w:style>
  <w:style w:type="character" w:customStyle="1" w:styleId="BalloonTextChar">
    <w:name w:val="Balloon Text Char"/>
    <w:basedOn w:val="DefaultParagraphFont"/>
    <w:link w:val="BalloonText"/>
    <w:uiPriority w:val="99"/>
    <w:semiHidden/>
    <w:rsid w:val="00B000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03C6D-038C-43BC-B4E8-28B1672B3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1551</Words>
  <Characters>8843</Characters>
  <Application>Microsoft Office Word</Application>
  <DocSecurity>0</DocSecurity>
  <Lines>73</Lines>
  <Paragraphs>20</Paragraphs>
  <ScaleCrop>false</ScaleCrop>
  <Company> </Company>
  <LinksUpToDate>false</LinksUpToDate>
  <CharactersWithSpaces>10374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2011-03-03T17:47:00Z</cp:lastPrinted>
  <dcterms:created xsi:type="dcterms:W3CDTF">2011-03-08T17:43:00Z</dcterms:created>
  <dcterms:modified xsi:type="dcterms:W3CDTF">2011-03-08T17:43:00Z</dcterms:modified>
</cp:coreProperties>
</file>