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E3D" w:rsidRDefault="009D7E3D" w:rsidP="002A3EB4">
      <w:pPr>
        <w:pStyle w:val="BillDots"/>
      </w:pPr>
      <w:r>
        <w:t>COMMITTEE REPORT</w:t>
      </w:r>
    </w:p>
    <w:p w:rsidR="009D7E3D" w:rsidRDefault="009D7E3D" w:rsidP="002A3EB4">
      <w:pPr>
        <w:pStyle w:val="BillDots"/>
      </w:pPr>
      <w:r>
        <w:t>March 30, 2011</w:t>
      </w:r>
    </w:p>
    <w:p w:rsidR="009D7E3D" w:rsidRDefault="009D7E3D" w:rsidP="002A3EB4">
      <w:pPr>
        <w:pStyle w:val="BillDots"/>
      </w:pPr>
    </w:p>
    <w:p w:rsidR="009D7E3D" w:rsidRPr="009D7E3D" w:rsidRDefault="009D7E3D" w:rsidP="009D7E3D">
      <w:pPr>
        <w:pStyle w:val="BillDots"/>
        <w:tabs>
          <w:tab w:val="clear" w:pos="216"/>
          <w:tab w:val="clear" w:pos="432"/>
          <w:tab w:val="clear" w:pos="648"/>
          <w:tab w:val="clear" w:pos="864"/>
          <w:tab w:val="clear" w:pos="1080"/>
          <w:tab w:val="clear" w:pos="1296"/>
          <w:tab w:val="clear" w:pos="5904"/>
          <w:tab w:val="right" w:pos="5933"/>
        </w:tabs>
      </w:pPr>
      <w:r>
        <w:tab/>
      </w:r>
      <w:r>
        <w:rPr>
          <w:b/>
          <w:sz w:val="36"/>
        </w:rPr>
        <w:t>S. 690</w:t>
      </w:r>
    </w:p>
    <w:p w:rsidR="009D7E3D" w:rsidRDefault="009D7E3D" w:rsidP="002A3EB4">
      <w:pPr>
        <w:pStyle w:val="BillDots"/>
      </w:pPr>
    </w:p>
    <w:p w:rsidR="009D7E3D" w:rsidRDefault="009D7E3D" w:rsidP="009D7E3D">
      <w:pPr>
        <w:pStyle w:val="BillDots"/>
        <w:jc w:val="center"/>
      </w:pPr>
      <w:r>
        <w:t xml:space="preserve">Introduced by </w:t>
      </w:r>
      <w:r w:rsidRPr="00CD7E52">
        <w:t>Senator Leatherman</w:t>
      </w:r>
    </w:p>
    <w:p w:rsidR="009D7E3D" w:rsidRDefault="009D7E3D" w:rsidP="002A3EB4">
      <w:pPr>
        <w:pStyle w:val="BillDots"/>
      </w:pPr>
    </w:p>
    <w:p w:rsidR="009D7E3D" w:rsidRDefault="009D7E3D" w:rsidP="002A3EB4">
      <w:pPr>
        <w:pStyle w:val="BillDots"/>
      </w:pPr>
      <w:r>
        <w:t>S. Printed 3/30/11--S.</w:t>
      </w:r>
    </w:p>
    <w:p w:rsidR="009D7E3D" w:rsidRDefault="009D7E3D" w:rsidP="002A3EB4">
      <w:pPr>
        <w:pStyle w:val="BillDots"/>
      </w:pPr>
      <w:r>
        <w:t>Read the first time March 15, 2011.</w:t>
      </w:r>
    </w:p>
    <w:p w:rsidR="009D7E3D" w:rsidRPr="009D7E3D" w:rsidRDefault="009D7E3D" w:rsidP="009D7E3D">
      <w:pPr>
        <w:pStyle w:val="BillDots"/>
        <w:jc w:val="center"/>
      </w:pPr>
      <w:r>
        <w:rPr>
          <w:u w:val="single"/>
        </w:rPr>
        <w:t>            </w:t>
      </w:r>
    </w:p>
    <w:p w:rsidR="009D7E3D" w:rsidRDefault="009D7E3D" w:rsidP="002A3EB4">
      <w:pPr>
        <w:pStyle w:val="BillDots"/>
      </w:pPr>
    </w:p>
    <w:p w:rsidR="009D7E3D" w:rsidRPr="009D7E3D" w:rsidRDefault="009D7E3D" w:rsidP="009D7E3D">
      <w:pPr>
        <w:pStyle w:val="BillDots"/>
        <w:jc w:val="center"/>
      </w:pPr>
      <w:r>
        <w:rPr>
          <w:b/>
        </w:rPr>
        <w:t>THE COMMITTEE ON FINANCE</w:t>
      </w:r>
    </w:p>
    <w:p w:rsidR="009D7E3D" w:rsidRDefault="009D7E3D" w:rsidP="00DB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 xml:space="preserve">To whom was referred a Bill (S. 690) </w:t>
      </w:r>
      <w:r w:rsidRPr="009D7E3D">
        <w:rPr>
          <w:color w:val="000000" w:themeColor="text1"/>
          <w:u w:color="000000" w:themeColor="text1"/>
        </w:rPr>
        <w:t>to reenact Section 12</w:t>
      </w:r>
      <w:r w:rsidRPr="009D7E3D">
        <w:rPr>
          <w:color w:val="000000" w:themeColor="text1"/>
          <w:u w:color="000000" w:themeColor="text1"/>
        </w:rPr>
        <w:noBreakHyphen/>
        <w:t>6</w:t>
      </w:r>
      <w:r w:rsidRPr="009D7E3D">
        <w:rPr>
          <w:color w:val="000000" w:themeColor="text1"/>
          <w:u w:color="000000" w:themeColor="text1"/>
        </w:rPr>
        <w:noBreakHyphen/>
        <w:t>60, Code of Laws of South Carolina, 1976, relating to determinations for income tax and corporate license fee</w:t>
      </w:r>
      <w:r>
        <w:t>, etc., respectfully</w:t>
      </w:r>
    </w:p>
    <w:p w:rsidR="009D7E3D" w:rsidRPr="009D7E3D" w:rsidRDefault="009D7E3D" w:rsidP="009D7E3D">
      <w:pPr>
        <w:pStyle w:val="BillDots"/>
        <w:jc w:val="center"/>
      </w:pPr>
      <w:r>
        <w:rPr>
          <w:b/>
        </w:rPr>
        <w:t>REPORT:</w:t>
      </w:r>
    </w:p>
    <w:p w:rsidR="009D7E3D" w:rsidRDefault="009D7E3D" w:rsidP="002A3EB4">
      <w:pPr>
        <w:pStyle w:val="BillDots"/>
      </w:pPr>
      <w:r>
        <w:tab/>
        <w:t>That they have duly and carefully considered the same and recommend that the same do pass:</w:t>
      </w:r>
    </w:p>
    <w:p w:rsidR="009D7E3D" w:rsidRDefault="009D7E3D" w:rsidP="002A3EB4">
      <w:pPr>
        <w:pStyle w:val="BillDots"/>
      </w:pPr>
    </w:p>
    <w:p w:rsidR="009D7E3D" w:rsidRDefault="009D7E3D" w:rsidP="002A3EB4">
      <w:pPr>
        <w:pStyle w:val="BillDots"/>
      </w:pPr>
      <w:r>
        <w:t>HUGH K. LEATHERMAN, SR. for Committee.</w:t>
      </w:r>
    </w:p>
    <w:p w:rsidR="009D7E3D" w:rsidRPr="009D7E3D" w:rsidRDefault="009D7E3D" w:rsidP="009D7E3D">
      <w:pPr>
        <w:pStyle w:val="BillDots"/>
        <w:jc w:val="center"/>
      </w:pPr>
      <w:r>
        <w:rPr>
          <w:u w:val="single"/>
        </w:rPr>
        <w:t>            </w:t>
      </w:r>
    </w:p>
    <w:p w:rsidR="009D7E3D" w:rsidRDefault="009D7E3D" w:rsidP="002A3EB4">
      <w:pPr>
        <w:pStyle w:val="BillDots"/>
      </w:pPr>
    </w:p>
    <w:p w:rsidR="009D7E3D" w:rsidRPr="009D7E3D" w:rsidRDefault="009D7E3D" w:rsidP="009D7E3D">
      <w:pPr>
        <w:pStyle w:val="BillDots"/>
        <w:jc w:val="center"/>
      </w:pPr>
      <w:r>
        <w:rPr>
          <w:b/>
          <w:u w:val="single"/>
        </w:rPr>
        <w:t>STATEMENT OF ESTIMATED FISCAL IMPACT</w:t>
      </w:r>
    </w:p>
    <w:p w:rsidR="009D7E3D" w:rsidRPr="007858C8" w:rsidRDefault="009D7E3D" w:rsidP="009D7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858C8">
        <w:rPr>
          <w:b/>
          <w:szCs w:val="22"/>
        </w:rPr>
        <w:t xml:space="preserve">REVENUE IMPACT </w:t>
      </w:r>
      <w:r w:rsidRPr="007858C8">
        <w:rPr>
          <w:b/>
          <w:szCs w:val="22"/>
          <w:vertAlign w:val="superscript"/>
        </w:rPr>
        <w:t>1/</w:t>
      </w:r>
    </w:p>
    <w:p w:rsidR="009D7E3D" w:rsidRPr="007858C8" w:rsidRDefault="009D7E3D" w:rsidP="009D7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858C8">
        <w:rPr>
          <w:szCs w:val="22"/>
        </w:rPr>
        <w:t xml:space="preserve">This bill is not expected to affect state </w:t>
      </w:r>
      <w:r>
        <w:rPr>
          <w:szCs w:val="22"/>
        </w:rPr>
        <w:t>g</w:t>
      </w:r>
      <w:r w:rsidRPr="007858C8">
        <w:rPr>
          <w:szCs w:val="22"/>
        </w:rPr>
        <w:t xml:space="preserve">eneral </w:t>
      </w:r>
      <w:r>
        <w:rPr>
          <w:szCs w:val="22"/>
        </w:rPr>
        <w:t>f</w:t>
      </w:r>
      <w:r w:rsidRPr="007858C8">
        <w:rPr>
          <w:szCs w:val="22"/>
        </w:rPr>
        <w:t>und income tax revenue or corporation license fee revenue in FY2011-12.</w:t>
      </w:r>
    </w:p>
    <w:p w:rsidR="009D7E3D" w:rsidRPr="007858C8" w:rsidRDefault="009D7E3D" w:rsidP="009D7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858C8">
        <w:rPr>
          <w:b/>
          <w:szCs w:val="22"/>
        </w:rPr>
        <w:t>Explanation</w:t>
      </w:r>
    </w:p>
    <w:p w:rsidR="009D7E3D" w:rsidRPr="007858C8" w:rsidRDefault="009D7E3D" w:rsidP="009D7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858C8">
        <w:rPr>
          <w:szCs w:val="22"/>
        </w:rPr>
        <w:t xml:space="preserve">Act 157 of 2005 provided for the repeal of the Section 12-6-60 for tax years beginning five years after the date of enactment. Act 157 was enacted June 16, 2005 and applied for taxable years beginning January 1, 2006. This bill would reenact Section 12-6-60 in its original form for another five taxable years until January 1, 2016. Act 157 defines the treatment of nexus for distribution facilities in the state. Nexus is considered to be a situation in which a business has a presence in a state where the selling of goods and services takes place and is responsible for remitting taxes for the privilege of doing business in the state. Section 12-6-60 would not allow a distribution facility to be considered a fixed place of business in South Carolina for the purposes of nexus. A distribution facility is defined in Section 12-6-3360 as an establishment where shipments of tangible personal property are </w:t>
      </w:r>
      <w:r w:rsidRPr="007858C8">
        <w:rPr>
          <w:szCs w:val="22"/>
        </w:rPr>
        <w:lastRenderedPageBreak/>
        <w:t xml:space="preserve">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seventy-five percent of the dollar amount of goods sold through the facility are sold to customers outside of South Carolina. Because a distribution facility meeting these criteria would not have nexus in the state, there would be no basis for the levying of income taxes on the establishment or the taxpayer who owns or leases the establishment. Since this bill would be a continuation of existing legislation and would not change the revenue forecast of the Board of Economic Advisors, this bill, therefore, is not expected to affect </w:t>
      </w:r>
      <w:r>
        <w:rPr>
          <w:szCs w:val="22"/>
        </w:rPr>
        <w:t>g</w:t>
      </w:r>
      <w:r w:rsidRPr="007858C8">
        <w:rPr>
          <w:szCs w:val="22"/>
        </w:rPr>
        <w:t xml:space="preserve">eneral </w:t>
      </w:r>
      <w:r>
        <w:rPr>
          <w:szCs w:val="22"/>
        </w:rPr>
        <w:t>f</w:t>
      </w:r>
      <w:r w:rsidRPr="007858C8">
        <w:rPr>
          <w:szCs w:val="22"/>
        </w:rPr>
        <w:t>und revenue in FY2011-12. This act takes effect January 1, 2011.</w:t>
      </w:r>
    </w:p>
    <w:p w:rsidR="009D7E3D" w:rsidRDefault="009D7E3D" w:rsidP="002A3EB4">
      <w:pPr>
        <w:pStyle w:val="BillDots"/>
      </w:pPr>
    </w:p>
    <w:p w:rsidR="009D7E3D" w:rsidRDefault="009D7E3D" w:rsidP="009D7E3D">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D7E3D" w:rsidRDefault="009D7E3D" w:rsidP="009D7E3D">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9D7E3D" w:rsidRPr="009D7E3D" w:rsidRDefault="009D7E3D" w:rsidP="009D7E3D">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9D7E3D" w:rsidRDefault="009D7E3D" w:rsidP="002A3EB4">
      <w:pPr>
        <w:pStyle w:val="BillDots"/>
      </w:pPr>
    </w:p>
    <w:p w:rsidR="009D7E3D" w:rsidRDefault="009D7E3D"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D7E3D" w:rsidRPr="009D7E3D" w:rsidRDefault="009D7E3D" w:rsidP="002A3EB4">
      <w:pPr>
        <w:pStyle w:val="BillDots"/>
        <w:sectPr w:rsidR="009D7E3D" w:rsidRPr="009D7E3D" w:rsidSect="009D7E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6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17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3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A7873">
        <w:rPr>
          <w:color w:val="000000" w:themeColor="text1"/>
          <w:u w:color="000000" w:themeColor="text1"/>
        </w:rPr>
        <w:t>TO REENACT SECTION 12</w:t>
      </w:r>
      <w:r w:rsidR="00B57AEF">
        <w:rPr>
          <w:color w:val="000000" w:themeColor="text1"/>
          <w:u w:color="000000" w:themeColor="text1"/>
        </w:rPr>
        <w:noBreakHyphen/>
      </w:r>
      <w:r w:rsidRPr="002A7873">
        <w:rPr>
          <w:color w:val="000000" w:themeColor="text1"/>
          <w:u w:color="000000" w:themeColor="text1"/>
        </w:rPr>
        <w:t>6</w:t>
      </w:r>
      <w:r w:rsidR="00B57AEF">
        <w:rPr>
          <w:color w:val="000000" w:themeColor="text1"/>
          <w:u w:color="000000" w:themeColor="text1"/>
        </w:rPr>
        <w:noBreakHyphen/>
      </w:r>
      <w:r w:rsidRPr="002A7873">
        <w:rPr>
          <w:color w:val="000000" w:themeColor="text1"/>
          <w:u w:color="000000" w:themeColor="text1"/>
        </w:rPr>
        <w:t>60</w:t>
      </w:r>
      <w:r w:rsidR="005A632D">
        <w:rPr>
          <w:color w:val="000000" w:themeColor="text1"/>
          <w:u w:color="000000" w:themeColor="text1"/>
        </w:rPr>
        <w:t>,</w:t>
      </w:r>
      <w:r w:rsidRPr="002A7873">
        <w:rPr>
          <w:color w:val="000000" w:themeColor="text1"/>
          <w:u w:color="000000" w:themeColor="text1"/>
        </w:rPr>
        <w:t xml:space="preserve"> CODE OF LAWS OF SOUTH CAROLINA, 1976, RELATING TO DETERMINATIONS FOR INCOME TAX AND CORPORATE LICENSE FEE PURPOSES</w:t>
      </w:r>
      <w:r>
        <w:rPr>
          <w:color w:val="000000" w:themeColor="text1"/>
          <w:u w:color="000000" w:themeColor="text1"/>
        </w:rPr>
        <w:t>.</w:t>
      </w:r>
    </w:p>
    <w:p w:rsidR="0045177A" w:rsidRDefault="00451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5177A" w:rsidRDefault="00451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77A" w:rsidRDefault="00451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459" w:rsidRPr="002A7873" w:rsidRDefault="00573459" w:rsidP="00573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A7873">
        <w:rPr>
          <w:color w:val="000000" w:themeColor="text1"/>
          <w:u w:color="000000" w:themeColor="text1"/>
        </w:rPr>
        <w:t>1.</w:t>
      </w:r>
      <w:r>
        <w:rPr>
          <w:color w:val="000000" w:themeColor="text1"/>
          <w:u w:color="000000" w:themeColor="text1"/>
        </w:rPr>
        <w:tab/>
      </w:r>
      <w:r w:rsidRPr="002A7873">
        <w:rPr>
          <w:color w:val="000000" w:themeColor="text1"/>
          <w:u w:color="000000" w:themeColor="text1"/>
        </w:rPr>
        <w:t>Section 12</w:t>
      </w:r>
      <w:r w:rsidR="00B57AEF">
        <w:rPr>
          <w:color w:val="000000" w:themeColor="text1"/>
          <w:u w:color="000000" w:themeColor="text1"/>
        </w:rPr>
        <w:noBreakHyphen/>
      </w:r>
      <w:r w:rsidRPr="002A7873">
        <w:rPr>
          <w:color w:val="000000" w:themeColor="text1"/>
          <w:u w:color="000000" w:themeColor="text1"/>
        </w:rPr>
        <w:t>6</w:t>
      </w:r>
      <w:r w:rsidR="00B57AEF">
        <w:rPr>
          <w:color w:val="000000" w:themeColor="text1"/>
          <w:u w:color="000000" w:themeColor="text1"/>
        </w:rPr>
        <w:noBreakHyphen/>
      </w:r>
      <w:r w:rsidR="000D288F">
        <w:rPr>
          <w:color w:val="000000" w:themeColor="text1"/>
          <w:u w:color="000000" w:themeColor="text1"/>
        </w:rPr>
        <w:t>60, as added by</w:t>
      </w:r>
      <w:r w:rsidRPr="002A7873">
        <w:rPr>
          <w:color w:val="000000" w:themeColor="text1"/>
          <w:u w:color="000000" w:themeColor="text1"/>
        </w:rPr>
        <w:t xml:space="preserve"> Section 1 of Act 157 of 2005, is reenacted in its original form until January 1, 2016, at which time it is repealed.</w:t>
      </w:r>
    </w:p>
    <w:p w:rsidR="00573459" w:rsidRPr="002A7873" w:rsidRDefault="00573459" w:rsidP="00573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73459" w:rsidP="00573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A7873">
        <w:rPr>
          <w:color w:val="000000" w:themeColor="text1"/>
          <w:u w:color="000000" w:themeColor="text1"/>
        </w:rPr>
        <w:t>2.</w:t>
      </w:r>
      <w:r>
        <w:rPr>
          <w:color w:val="000000" w:themeColor="text1"/>
          <w:u w:color="000000" w:themeColor="text1"/>
        </w:rPr>
        <w:tab/>
      </w:r>
      <w:r w:rsidRPr="002A7873">
        <w:rPr>
          <w:color w:val="000000" w:themeColor="text1"/>
          <w:u w:color="000000" w:themeColor="text1"/>
        </w:rPr>
        <w:t>This section takes effect January 1, 2011.</w:t>
      </w:r>
    </w:p>
    <w:p w:rsidR="007C6AF1" w:rsidRDefault="00B57A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6AF1" w:rsidRDefault="007C6AF1" w:rsidP="00583DDF">
      <w:pPr>
        <w:suppressAutoHyphens/>
      </w:pPr>
    </w:p>
    <w:sectPr w:rsidR="007C6AF1" w:rsidSect="009D7E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77A" w:rsidRDefault="0045177A" w:rsidP="009F0C77">
      <w:r>
        <w:separator/>
      </w:r>
    </w:p>
  </w:endnote>
  <w:endnote w:type="continuationSeparator" w:id="0">
    <w:p w:rsidR="0045177A" w:rsidRDefault="004517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78061B-9273-42D6-B9A7-4EF43C5ADA29}"/>
    <w:embedBold r:id="rId2" w:fontKey="{F1B77570-4C5C-4E34-BA7C-E123457D13FC}"/>
    <w:embedItalic r:id="rId3" w:fontKey="{7F6B7A29-B048-41C2-A91D-3CB54A1E5534}"/>
  </w:font>
  <w:font w:name="Calibri">
    <w:panose1 w:val="020F0502020204030204"/>
    <w:charset w:val="00"/>
    <w:family w:val="swiss"/>
    <w:pitch w:val="variable"/>
    <w:sig w:usb0="A00002EF" w:usb1="4000207B" w:usb2="00000000" w:usb3="00000000" w:csb0="0000009F" w:csb1="00000000"/>
    <w:embedRegular r:id="rId4" w:fontKey="{ADC3CEC0-891F-490E-9C49-FED2B023D591}"/>
  </w:font>
  <w:font w:name="Tahoma">
    <w:panose1 w:val="020B0604030504040204"/>
    <w:charset w:val="00"/>
    <w:family w:val="swiss"/>
    <w:pitch w:val="variable"/>
    <w:sig w:usb0="61002A87" w:usb1="80000000" w:usb2="00000008" w:usb3="00000000" w:csb0="000101FF" w:csb1="00000000"/>
    <w:embedRegular r:id="rId5" w:fontKey="{E86C2822-CFDF-4CF9-871C-967182D70356}"/>
  </w:font>
  <w:font w:name="Cambria">
    <w:panose1 w:val="02040503050406030204"/>
    <w:charset w:val="00"/>
    <w:family w:val="roman"/>
    <w:pitch w:val="variable"/>
    <w:sig w:usb0="A00002EF" w:usb1="4000004B" w:usb2="00000000" w:usb3="00000000" w:csb0="0000009F" w:csb1="00000000"/>
    <w:embedRegular r:id="rId6" w:fontKey="{5C3060BE-F647-474F-A791-33035EF76A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01C" w:rsidRPr="007C6AF1" w:rsidRDefault="007C6AF1" w:rsidP="007C6AF1">
    <w:pPr>
      <w:pStyle w:val="Footer"/>
      <w:tabs>
        <w:tab w:val="clear" w:pos="4680"/>
        <w:tab w:val="clear" w:pos="9360"/>
        <w:tab w:val="center" w:pos="2995"/>
      </w:tabs>
      <w:spacing w:before="120"/>
    </w:pPr>
    <w:r>
      <w:t>[690</w:t>
    </w:r>
    <w:r w:rsidR="009D7E3D">
      <w:t>-</w:t>
    </w:r>
    <w:fldSimple w:instr=" PAGE  \* MERGEFORMAT ">
      <w:r w:rsidR="00583DDF">
        <w:rPr>
          <w:noProof/>
        </w:rPr>
        <w:t>2</w:t>
      </w:r>
    </w:fldSimple>
    <w:r w:rsidR="009D7E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E3D" w:rsidRPr="007C6AF1" w:rsidRDefault="009D7E3D" w:rsidP="007C6AF1">
    <w:pPr>
      <w:pStyle w:val="Footer"/>
      <w:tabs>
        <w:tab w:val="clear" w:pos="4680"/>
        <w:tab w:val="clear" w:pos="9360"/>
        <w:tab w:val="center" w:pos="2995"/>
      </w:tabs>
      <w:spacing w:before="120"/>
    </w:pPr>
    <w:r>
      <w:t>[690]</w:t>
    </w:r>
    <w:r>
      <w:tab/>
    </w:r>
    <w:fldSimple w:instr=" PAGE  \* MERGEFORMAT ">
      <w:r w:rsidR="00583D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77A" w:rsidRDefault="0045177A" w:rsidP="009F0C77">
      <w:r>
        <w:separator/>
      </w:r>
    </w:p>
  </w:footnote>
  <w:footnote w:type="continuationSeparator" w:id="0">
    <w:p w:rsidR="0045177A" w:rsidRDefault="004517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63DG11"/>
    <w:docVar w:name="CoverBillType" w:val="b"/>
    <w:docVar w:name="docpath" w:val="L:\Council\bills\NBD\11463DG11.DOCX"/>
    <w:docVar w:name="dvBillNumber" w:val="690"/>
    <w:docVar w:name="dvBillNumberPrefix" w:val="S. "/>
    <w:docVar w:name="dvOriginalBody" w:val="Senate"/>
    <w:docVar w:name="dvSteno" w:val="NBD"/>
    <w:docVar w:name="NameofBody" w:val="s"/>
    <w:docVar w:name="vgroup2" w:val="Council"/>
  </w:docVars>
  <w:rsids>
    <w:rsidRoot w:val="003106B8"/>
    <w:rsid w:val="00026C9A"/>
    <w:rsid w:val="000965A1"/>
    <w:rsid w:val="000D288F"/>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06B8"/>
    <w:rsid w:val="00325348"/>
    <w:rsid w:val="00393688"/>
    <w:rsid w:val="003D411E"/>
    <w:rsid w:val="003E3C1E"/>
    <w:rsid w:val="003E6148"/>
    <w:rsid w:val="00400EAA"/>
    <w:rsid w:val="0041760A"/>
    <w:rsid w:val="0045177A"/>
    <w:rsid w:val="004809EE"/>
    <w:rsid w:val="00511EE9"/>
    <w:rsid w:val="00521E00"/>
    <w:rsid w:val="0056037C"/>
    <w:rsid w:val="00573459"/>
    <w:rsid w:val="00577C6C"/>
    <w:rsid w:val="00583DDF"/>
    <w:rsid w:val="0058501B"/>
    <w:rsid w:val="005A632D"/>
    <w:rsid w:val="006215AA"/>
    <w:rsid w:val="006340D9"/>
    <w:rsid w:val="00643B8E"/>
    <w:rsid w:val="006540A7"/>
    <w:rsid w:val="00665EBC"/>
    <w:rsid w:val="0069470D"/>
    <w:rsid w:val="006A476C"/>
    <w:rsid w:val="006C48A0"/>
    <w:rsid w:val="006C6A93"/>
    <w:rsid w:val="006E02F9"/>
    <w:rsid w:val="00753C04"/>
    <w:rsid w:val="00756946"/>
    <w:rsid w:val="00757F80"/>
    <w:rsid w:val="00771EEC"/>
    <w:rsid w:val="00786819"/>
    <w:rsid w:val="007A325A"/>
    <w:rsid w:val="007C6AF1"/>
    <w:rsid w:val="007F1523"/>
    <w:rsid w:val="007F509E"/>
    <w:rsid w:val="007F5799"/>
    <w:rsid w:val="007F6947"/>
    <w:rsid w:val="00872729"/>
    <w:rsid w:val="008F4429"/>
    <w:rsid w:val="009352BB"/>
    <w:rsid w:val="00990668"/>
    <w:rsid w:val="009D7E3D"/>
    <w:rsid w:val="009F0C77"/>
    <w:rsid w:val="009F4DD1"/>
    <w:rsid w:val="00A64E80"/>
    <w:rsid w:val="00A741D9"/>
    <w:rsid w:val="00A9741D"/>
    <w:rsid w:val="00AD4B17"/>
    <w:rsid w:val="00AD6187"/>
    <w:rsid w:val="00B26FA6"/>
    <w:rsid w:val="00B57AEF"/>
    <w:rsid w:val="00B741CB"/>
    <w:rsid w:val="00B934F3"/>
    <w:rsid w:val="00BB6347"/>
    <w:rsid w:val="00BD2134"/>
    <w:rsid w:val="00C038D8"/>
    <w:rsid w:val="00C045DD"/>
    <w:rsid w:val="00C3136F"/>
    <w:rsid w:val="00C3483A"/>
    <w:rsid w:val="00C408E0"/>
    <w:rsid w:val="00C74E9D"/>
    <w:rsid w:val="00C82FD3"/>
    <w:rsid w:val="00CC379A"/>
    <w:rsid w:val="00CC6B7B"/>
    <w:rsid w:val="00CD3619"/>
    <w:rsid w:val="00CF4447"/>
    <w:rsid w:val="00D405E7"/>
    <w:rsid w:val="00D41D56"/>
    <w:rsid w:val="00D6260D"/>
    <w:rsid w:val="00D6662B"/>
    <w:rsid w:val="00D95E2F"/>
    <w:rsid w:val="00D970A9"/>
    <w:rsid w:val="00DB3AC0"/>
    <w:rsid w:val="00DB5E60"/>
    <w:rsid w:val="00DE68F0"/>
    <w:rsid w:val="00DF3845"/>
    <w:rsid w:val="00DF7E17"/>
    <w:rsid w:val="00EB00A2"/>
    <w:rsid w:val="00EB1BF3"/>
    <w:rsid w:val="00EF3EEE"/>
    <w:rsid w:val="00F149A7"/>
    <w:rsid w:val="00F2501C"/>
    <w:rsid w:val="00F50BAF"/>
    <w:rsid w:val="00F52C10"/>
    <w:rsid w:val="00F81FFD"/>
    <w:rsid w:val="00F85228"/>
    <w:rsid w:val="00FB6773"/>
    <w:rsid w:val="00FD1E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7AEF"/>
    <w:rPr>
      <w:rFonts w:ascii="Tahoma" w:hAnsi="Tahoma" w:cs="Tahoma"/>
      <w:sz w:val="16"/>
      <w:szCs w:val="16"/>
    </w:rPr>
  </w:style>
  <w:style w:type="character" w:customStyle="1" w:styleId="BalloonTextChar">
    <w:name w:val="Balloon Text Char"/>
    <w:basedOn w:val="DefaultParagraphFont"/>
    <w:link w:val="BalloonText"/>
    <w:uiPriority w:val="99"/>
    <w:semiHidden/>
    <w:rsid w:val="00B57AE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6037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762EE-DA33-4452-ABF9-83027D6AE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2840</Characters>
  <Application>Microsoft Office Word</Application>
  <DocSecurity>0</DocSecurity>
  <Lines>94</Lines>
  <Paragraphs>31</Paragraphs>
  <ScaleCrop>false</ScaleCrop>
  <Company> </Company>
  <LinksUpToDate>false</LinksUpToDate>
  <CharactersWithSpaces>3375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2011-03-30T21:31:00Z</cp:lastPrinted>
  <dcterms:created xsi:type="dcterms:W3CDTF">2011-03-30T22:21:00Z</dcterms:created>
  <dcterms:modified xsi:type="dcterms:W3CDTF">2011-03-30T22:21:00Z</dcterms:modified>
</cp:coreProperties>
</file>