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0A8B">
        <w:rPr>
          <w:rFonts w:cs="Times New Roman"/>
          <w:b/>
        </w:rPr>
        <w:t>South Carolina General Assembly</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0A8B">
        <w:rPr>
          <w:rFonts w:cs="Times New Roman"/>
        </w:rPr>
        <w:t>120th Session, 2013-2014</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8B" w:rsidRPr="00F10A8B" w:rsidRDefault="00BA1B51"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A220, R228, S1033</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0A8B">
        <w:rPr>
          <w:rFonts w:cs="Times New Roman"/>
          <w:b/>
        </w:rPr>
        <w:t>STATUS INFORMATION</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0A8B">
        <w:rPr>
          <w:rFonts w:cs="Times New Roman"/>
        </w:rPr>
        <w:t>General Bill</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0A8B">
        <w:rPr>
          <w:rFonts w:cs="Times New Roman"/>
        </w:rPr>
        <w:t>Sponsors: Senators Campbell, Leatherman, Setzler, O'Dell and Alexander</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0A8B">
        <w:rPr>
          <w:rFonts w:cs="Times New Roman"/>
        </w:rPr>
        <w:t>Document Path: l:\s-res\pgc\016emer.hm.pgc.docx</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40EA" w:rsidRDefault="00B840EA"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19, 2014</w:t>
      </w:r>
    </w:p>
    <w:p w:rsidR="00B840EA" w:rsidRDefault="00B840EA"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2014</w:t>
      </w:r>
    </w:p>
    <w:p w:rsidR="00B840EA" w:rsidRDefault="00B840EA"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13, 2014</w:t>
      </w:r>
    </w:p>
    <w:p w:rsidR="00B840EA" w:rsidRDefault="00B840EA"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2014</w:t>
      </w:r>
    </w:p>
    <w:p w:rsidR="00B840EA" w:rsidRDefault="00B840EA"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B840EA" w:rsidRDefault="00B840EA"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0A8B">
        <w:rPr>
          <w:rFonts w:cs="Times New Roman"/>
        </w:rPr>
        <w:t>Summary: Out-of-state businesses</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8B" w:rsidRPr="00F10A8B" w:rsidRDefault="00F10A8B" w:rsidP="00F10A8B">
      <w:pPr>
        <w:widowControl w:val="0"/>
        <w:tabs>
          <w:tab w:val="center" w:pos="590"/>
          <w:tab w:val="center" w:pos="1440"/>
          <w:tab w:val="left" w:pos="1872"/>
          <w:tab w:val="left" w:pos="9187"/>
        </w:tabs>
        <w:rPr>
          <w:rFonts w:cs="Times New Roman"/>
        </w:rPr>
      </w:pPr>
      <w:r w:rsidRPr="00F10A8B">
        <w:rPr>
          <w:rFonts w:cs="Times New Roman"/>
          <w:b/>
        </w:rPr>
        <w:t>HISTORY OF LEGISLATIVE ACTIONS</w:t>
      </w:r>
    </w:p>
    <w:p w:rsidR="00F10A8B" w:rsidRPr="00F10A8B" w:rsidRDefault="00F10A8B" w:rsidP="00F10A8B">
      <w:pPr>
        <w:widowControl w:val="0"/>
        <w:tabs>
          <w:tab w:val="center" w:pos="590"/>
          <w:tab w:val="center" w:pos="1440"/>
          <w:tab w:val="left" w:pos="1872"/>
          <w:tab w:val="left" w:pos="9187"/>
        </w:tabs>
        <w:rPr>
          <w:rFonts w:cs="Times New Roman"/>
        </w:rPr>
      </w:pPr>
    </w:p>
    <w:p w:rsidR="00F10A8B" w:rsidRPr="00F10A8B" w:rsidRDefault="00F10A8B" w:rsidP="00F10A8B">
      <w:pPr>
        <w:widowControl w:val="0"/>
        <w:tabs>
          <w:tab w:val="center" w:pos="590"/>
          <w:tab w:val="center" w:pos="1440"/>
          <w:tab w:val="left" w:pos="1872"/>
          <w:tab w:val="left" w:pos="9187"/>
        </w:tabs>
        <w:rPr>
          <w:rFonts w:cs="Times New Roman"/>
        </w:rPr>
      </w:pPr>
      <w:bookmarkStart w:id="0" w:name="_GoBack"/>
      <w:r w:rsidRPr="00F10A8B">
        <w:rPr>
          <w:rFonts w:cs="Times New Roman"/>
          <w:u w:val="single"/>
        </w:rPr>
        <w:tab/>
        <w:t>Date</w:t>
      </w:r>
      <w:r w:rsidRPr="00F10A8B">
        <w:rPr>
          <w:rFonts w:cs="Times New Roman"/>
          <w:u w:val="single"/>
        </w:rPr>
        <w:tab/>
        <w:t>Body</w:t>
      </w:r>
      <w:r w:rsidRPr="00F10A8B">
        <w:rPr>
          <w:rFonts w:cs="Times New Roman"/>
          <w:u w:val="single"/>
        </w:rPr>
        <w:tab/>
        <w:t>Action Description with journal page number</w:t>
      </w:r>
      <w:r w:rsidRPr="00F10A8B">
        <w:rPr>
          <w:rFonts w:cs="Times New Roman"/>
          <w:u w:val="single"/>
        </w:rPr>
        <w:tab/>
      </w:r>
      <w:bookmarkEnd w:id="0"/>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12376E">
        <w:rPr>
          <w:rFonts w:cs="Times New Roman"/>
        </w:rPr>
        <w:t>Introduced and read first time (</w:t>
      </w:r>
      <w:hyperlink r:id="rId6" w:history="1">
        <w:r w:rsidRPr="0012376E">
          <w:rPr>
            <w:rStyle w:val="Hyperlink"/>
            <w:rFonts w:cs="Times New Roman"/>
          </w:rPr>
          <w:t>Senate Journal</w:t>
        </w:r>
        <w:r w:rsidRPr="0012376E">
          <w:rPr>
            <w:rStyle w:val="Hyperlink"/>
            <w:rFonts w:cs="Times New Roman"/>
          </w:rPr>
          <w:noBreakHyphen/>
          <w:t>page 7</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12376E">
        <w:rPr>
          <w:rFonts w:cs="Times New Roman"/>
        </w:rPr>
        <w:t>R</w:t>
      </w:r>
      <w:r>
        <w:rPr>
          <w:rFonts w:cs="Times New Roman"/>
        </w:rPr>
        <w:t xml:space="preserve">eferred to Committee on </w:t>
      </w:r>
      <w:r w:rsidRPr="0012376E">
        <w:rPr>
          <w:rFonts w:cs="Times New Roman"/>
          <w:b/>
        </w:rPr>
        <w:t>Finance</w:t>
      </w:r>
      <w:r>
        <w:rPr>
          <w:rFonts w:cs="Times New Roman"/>
        </w:rPr>
        <w:t xml:space="preserve"> </w:t>
      </w:r>
      <w:r w:rsidRPr="0012376E">
        <w:rPr>
          <w:rFonts w:cs="Times New Roman"/>
        </w:rPr>
        <w:t>(</w:t>
      </w:r>
      <w:hyperlink r:id="rId7" w:history="1">
        <w:r w:rsidRPr="0012376E">
          <w:rPr>
            <w:rStyle w:val="Hyperlink"/>
            <w:rFonts w:cs="Times New Roman"/>
          </w:rPr>
          <w:t>Senate Journal</w:t>
        </w:r>
        <w:r w:rsidRPr="0012376E">
          <w:rPr>
            <w:rStyle w:val="Hyperlink"/>
            <w:rFonts w:cs="Times New Roman"/>
          </w:rPr>
          <w:noBreakHyphen/>
          <w:t>page 7</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12376E">
        <w:rPr>
          <w:rFonts w:cs="Times New Roman"/>
        </w:rPr>
        <w:t>Comm</w:t>
      </w:r>
      <w:r>
        <w:rPr>
          <w:rFonts w:cs="Times New Roman"/>
        </w:rPr>
        <w:t xml:space="preserve">ittee report: Favorable </w:t>
      </w:r>
      <w:r w:rsidRPr="0012376E">
        <w:rPr>
          <w:rFonts w:cs="Times New Roman"/>
          <w:b/>
        </w:rPr>
        <w:t>Finance</w:t>
      </w:r>
      <w:r>
        <w:rPr>
          <w:rFonts w:cs="Times New Roman"/>
        </w:rPr>
        <w:t xml:space="preserve"> </w:t>
      </w:r>
      <w:r w:rsidRPr="0012376E">
        <w:rPr>
          <w:rFonts w:cs="Times New Roman"/>
        </w:rPr>
        <w:t>(</w:t>
      </w:r>
      <w:hyperlink r:id="rId8" w:history="1">
        <w:r w:rsidRPr="0012376E">
          <w:rPr>
            <w:rStyle w:val="Hyperlink"/>
            <w:rFonts w:cs="Times New Roman"/>
          </w:rPr>
          <w:t>Senate Journal</w:t>
        </w:r>
        <w:r w:rsidRPr="0012376E">
          <w:rPr>
            <w:rStyle w:val="Hyperlink"/>
            <w:rFonts w:cs="Times New Roman"/>
          </w:rPr>
          <w:noBreakHyphen/>
          <w:t>page 22</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r>
      <w:r>
        <w:rPr>
          <w:rFonts w:cs="Times New Roman"/>
        </w:rPr>
        <w:tab/>
      </w:r>
      <w:r w:rsidRPr="0012376E">
        <w:rPr>
          <w:rFonts w:cs="Times New Roman"/>
        </w:rPr>
        <w:t>Scrivener's error corrected</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12376E">
        <w:rPr>
          <w:rFonts w:cs="Times New Roman"/>
        </w:rPr>
        <w:t>Amended (</w:t>
      </w:r>
      <w:hyperlink r:id="rId9" w:history="1">
        <w:r w:rsidRPr="0012376E">
          <w:rPr>
            <w:rStyle w:val="Hyperlink"/>
            <w:rFonts w:cs="Times New Roman"/>
          </w:rPr>
          <w:t>Senate Journal</w:t>
        </w:r>
        <w:r w:rsidRPr="0012376E">
          <w:rPr>
            <w:rStyle w:val="Hyperlink"/>
            <w:rFonts w:cs="Times New Roman"/>
          </w:rPr>
          <w:noBreakHyphen/>
          <w:t>page 16</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12376E">
        <w:rPr>
          <w:rFonts w:cs="Times New Roman"/>
        </w:rPr>
        <w:t>Read second time (</w:t>
      </w:r>
      <w:hyperlink r:id="rId10" w:history="1">
        <w:r w:rsidRPr="0012376E">
          <w:rPr>
            <w:rStyle w:val="Hyperlink"/>
            <w:rFonts w:cs="Times New Roman"/>
          </w:rPr>
          <w:t>Senate Journal</w:t>
        </w:r>
        <w:r w:rsidRPr="0012376E">
          <w:rPr>
            <w:rStyle w:val="Hyperlink"/>
            <w:rFonts w:cs="Times New Roman"/>
          </w:rPr>
          <w:noBreakHyphen/>
          <w:t>page 16</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12376E">
        <w:rPr>
          <w:rFonts w:cs="Times New Roman"/>
        </w:rPr>
        <w:t>Roll call Ayes</w:t>
      </w:r>
      <w:r>
        <w:rPr>
          <w:rFonts w:cs="Times New Roman"/>
        </w:rPr>
        <w:noBreakHyphen/>
      </w:r>
      <w:r w:rsidRPr="0012376E">
        <w:rPr>
          <w:rFonts w:cs="Times New Roman"/>
        </w:rPr>
        <w:t>40  Nays</w:t>
      </w:r>
      <w:r>
        <w:rPr>
          <w:rFonts w:cs="Times New Roman"/>
        </w:rPr>
        <w:noBreakHyphen/>
      </w:r>
      <w:r w:rsidRPr="0012376E">
        <w:rPr>
          <w:rFonts w:cs="Times New Roman"/>
        </w:rPr>
        <w:t>3 (</w:t>
      </w:r>
      <w:hyperlink r:id="rId11" w:history="1">
        <w:r w:rsidRPr="0012376E">
          <w:rPr>
            <w:rStyle w:val="Hyperlink"/>
            <w:rFonts w:cs="Times New Roman"/>
          </w:rPr>
          <w:t>Senate Journal</w:t>
        </w:r>
        <w:r w:rsidRPr="0012376E">
          <w:rPr>
            <w:rStyle w:val="Hyperlink"/>
            <w:rFonts w:cs="Times New Roman"/>
          </w:rPr>
          <w:noBreakHyphen/>
          <w:t>page 16</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12376E">
        <w:rPr>
          <w:rFonts w:cs="Times New Roman"/>
        </w:rPr>
        <w:t>Re</w:t>
      </w:r>
      <w:r>
        <w:rPr>
          <w:rFonts w:cs="Times New Roman"/>
        </w:rPr>
        <w:t xml:space="preserve">ad third time and sent to House </w:t>
      </w:r>
      <w:r w:rsidRPr="0012376E">
        <w:rPr>
          <w:rFonts w:cs="Times New Roman"/>
        </w:rPr>
        <w:t>(</w:t>
      </w:r>
      <w:hyperlink r:id="rId12" w:history="1">
        <w:r w:rsidRPr="0012376E">
          <w:rPr>
            <w:rStyle w:val="Hyperlink"/>
            <w:rFonts w:cs="Times New Roman"/>
          </w:rPr>
          <w:t>Senate Journal</w:t>
        </w:r>
        <w:r w:rsidRPr="0012376E">
          <w:rPr>
            <w:rStyle w:val="Hyperlink"/>
            <w:rFonts w:cs="Times New Roman"/>
          </w:rPr>
          <w:noBreakHyphen/>
          <w:t>page 21</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12376E">
        <w:rPr>
          <w:rFonts w:cs="Times New Roman"/>
        </w:rPr>
        <w:t>Introduced and read first time (</w:t>
      </w:r>
      <w:hyperlink r:id="rId13" w:history="1">
        <w:r w:rsidRPr="0012376E">
          <w:rPr>
            <w:rStyle w:val="Hyperlink"/>
            <w:rFonts w:cs="Times New Roman"/>
          </w:rPr>
          <w:t>House Journal</w:t>
        </w:r>
        <w:r w:rsidRPr="0012376E">
          <w:rPr>
            <w:rStyle w:val="Hyperlink"/>
            <w:rFonts w:cs="Times New Roman"/>
          </w:rPr>
          <w:noBreakHyphen/>
          <w:t>page 18</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12376E">
        <w:rPr>
          <w:rFonts w:cs="Times New Roman"/>
        </w:rPr>
        <w:t>Referred</w:t>
      </w:r>
      <w:r>
        <w:rPr>
          <w:rFonts w:cs="Times New Roman"/>
        </w:rPr>
        <w:t xml:space="preserve"> to Committee on </w:t>
      </w:r>
      <w:r w:rsidRPr="0012376E">
        <w:rPr>
          <w:rFonts w:cs="Times New Roman"/>
          <w:b/>
        </w:rPr>
        <w:t>Ways and Means</w:t>
      </w:r>
      <w:r>
        <w:rPr>
          <w:rFonts w:cs="Times New Roman"/>
        </w:rPr>
        <w:t xml:space="preserve"> </w:t>
      </w:r>
      <w:r w:rsidRPr="0012376E">
        <w:rPr>
          <w:rFonts w:cs="Times New Roman"/>
        </w:rPr>
        <w:t>(</w:t>
      </w:r>
      <w:hyperlink r:id="rId14" w:history="1">
        <w:r w:rsidRPr="0012376E">
          <w:rPr>
            <w:rStyle w:val="Hyperlink"/>
            <w:rFonts w:cs="Times New Roman"/>
          </w:rPr>
          <w:t>House Journal</w:t>
        </w:r>
        <w:r w:rsidRPr="0012376E">
          <w:rPr>
            <w:rStyle w:val="Hyperlink"/>
            <w:rFonts w:cs="Times New Roman"/>
          </w:rPr>
          <w:noBreakHyphen/>
          <w:t>page 18</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2376E">
        <w:rPr>
          <w:rFonts w:cs="Times New Roman"/>
        </w:rPr>
        <w:t>Committee r</w:t>
      </w:r>
      <w:r>
        <w:rPr>
          <w:rFonts w:cs="Times New Roman"/>
        </w:rPr>
        <w:t xml:space="preserve">eport: Favorable </w:t>
      </w:r>
      <w:r w:rsidRPr="0012376E">
        <w:rPr>
          <w:rFonts w:cs="Times New Roman"/>
          <w:b/>
        </w:rPr>
        <w:t>Ways and Means</w:t>
      </w:r>
      <w:r>
        <w:rPr>
          <w:rFonts w:cs="Times New Roman"/>
        </w:rPr>
        <w:t xml:space="preserve"> </w:t>
      </w:r>
      <w:r w:rsidRPr="0012376E">
        <w:rPr>
          <w:rFonts w:cs="Times New Roman"/>
        </w:rPr>
        <w:t>(</w:t>
      </w:r>
      <w:hyperlink r:id="rId15" w:history="1">
        <w:r w:rsidRPr="0012376E">
          <w:rPr>
            <w:rStyle w:val="Hyperlink"/>
            <w:rFonts w:cs="Times New Roman"/>
          </w:rPr>
          <w:t>House Journal</w:t>
        </w:r>
        <w:r w:rsidRPr="0012376E">
          <w:rPr>
            <w:rStyle w:val="Hyperlink"/>
            <w:rFonts w:cs="Times New Roman"/>
          </w:rPr>
          <w:noBreakHyphen/>
          <w:t>page 43</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12376E">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12376E">
        <w:rPr>
          <w:rFonts w:cs="Times New Roman"/>
        </w:rPr>
        <w:t>(</w:t>
      </w:r>
      <w:hyperlink r:id="rId16" w:history="1">
        <w:r w:rsidRPr="0012376E">
          <w:rPr>
            <w:rStyle w:val="Hyperlink"/>
            <w:rFonts w:cs="Times New Roman"/>
          </w:rPr>
          <w:t>House Journal</w:t>
        </w:r>
        <w:r w:rsidRPr="0012376E">
          <w:rPr>
            <w:rStyle w:val="Hyperlink"/>
            <w:rFonts w:cs="Times New Roman"/>
          </w:rPr>
          <w:noBreakHyphen/>
          <w:t>page 51</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12376E">
        <w:rPr>
          <w:rFonts w:cs="Times New Roman"/>
        </w:rPr>
        <w:t>Read second time (</w:t>
      </w:r>
      <w:hyperlink r:id="rId17" w:history="1">
        <w:r w:rsidRPr="0012376E">
          <w:rPr>
            <w:rStyle w:val="Hyperlink"/>
            <w:rFonts w:cs="Times New Roman"/>
          </w:rPr>
          <w:t>House Journal</w:t>
        </w:r>
        <w:r w:rsidRPr="0012376E">
          <w:rPr>
            <w:rStyle w:val="Hyperlink"/>
            <w:rFonts w:cs="Times New Roman"/>
          </w:rPr>
          <w:noBreakHyphen/>
          <w:t>page 46</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12376E">
        <w:rPr>
          <w:rFonts w:cs="Times New Roman"/>
        </w:rPr>
        <w:t>Roll call Yeas</w:t>
      </w:r>
      <w:r>
        <w:rPr>
          <w:rFonts w:cs="Times New Roman"/>
        </w:rPr>
        <w:noBreakHyphen/>
      </w:r>
      <w:r w:rsidRPr="0012376E">
        <w:rPr>
          <w:rFonts w:cs="Times New Roman"/>
        </w:rPr>
        <w:t>102  Nays</w:t>
      </w:r>
      <w:r>
        <w:rPr>
          <w:rFonts w:cs="Times New Roman"/>
        </w:rPr>
        <w:noBreakHyphen/>
      </w:r>
      <w:r w:rsidRPr="0012376E">
        <w:rPr>
          <w:rFonts w:cs="Times New Roman"/>
        </w:rPr>
        <w:t>0 (</w:t>
      </w:r>
      <w:hyperlink r:id="rId18" w:history="1">
        <w:r w:rsidRPr="0012376E">
          <w:rPr>
            <w:rStyle w:val="Hyperlink"/>
            <w:rFonts w:cs="Times New Roman"/>
          </w:rPr>
          <w:t>House Journal</w:t>
        </w:r>
        <w:r w:rsidRPr="0012376E">
          <w:rPr>
            <w:rStyle w:val="Hyperlink"/>
            <w:rFonts w:cs="Times New Roman"/>
          </w:rPr>
          <w:noBreakHyphen/>
          <w:t>page 47</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12376E">
        <w:rPr>
          <w:rFonts w:cs="Times New Roman"/>
        </w:rPr>
        <w:t>Read third time and enrolled (</w:t>
      </w:r>
      <w:hyperlink r:id="rId19" w:history="1">
        <w:r w:rsidRPr="0012376E">
          <w:rPr>
            <w:rStyle w:val="Hyperlink"/>
            <w:rFonts w:cs="Times New Roman"/>
          </w:rPr>
          <w:t>House Journal</w:t>
        </w:r>
        <w:r w:rsidRPr="0012376E">
          <w:rPr>
            <w:rStyle w:val="Hyperlink"/>
            <w:rFonts w:cs="Times New Roman"/>
          </w:rPr>
          <w:noBreakHyphen/>
          <w:t>page 10</w:t>
        </w:r>
      </w:hyperlink>
      <w:r w:rsidRPr="0012376E">
        <w:rPr>
          <w:rFonts w:cs="Times New Roman"/>
        </w:rPr>
        <w:t>)</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2376E">
        <w:rPr>
          <w:rFonts w:cs="Times New Roman"/>
        </w:rPr>
        <w:t>Ratified R 228</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2376E">
        <w:rPr>
          <w:rFonts w:cs="Times New Roman"/>
        </w:rPr>
        <w:t>Signed By Governor</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12376E">
        <w:rPr>
          <w:rFonts w:cs="Times New Roman"/>
        </w:rPr>
        <w:t>Effective date 06/02/14</w:t>
      </w:r>
    </w:p>
    <w:p w:rsidR="00146103" w:rsidRDefault="00146103" w:rsidP="00146103">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12376E">
        <w:rPr>
          <w:rFonts w:cs="Times New Roman"/>
        </w:rPr>
        <w:t>Act No</w:t>
      </w:r>
      <w:r>
        <w:rPr>
          <w:rFonts w:cs="Times New Roman"/>
        </w:rPr>
        <w:t>. </w:t>
      </w:r>
      <w:r w:rsidRPr="0012376E">
        <w:rPr>
          <w:rFonts w:cs="Times New Roman"/>
        </w:rPr>
        <w:t>220</w:t>
      </w:r>
    </w:p>
    <w:p w:rsidR="00146103" w:rsidRDefault="00146103" w:rsidP="00146103">
      <w:pPr>
        <w:widowControl w:val="0"/>
        <w:tabs>
          <w:tab w:val="right" w:pos="1008"/>
          <w:tab w:val="left" w:pos="1152"/>
          <w:tab w:val="left" w:pos="1872"/>
          <w:tab w:val="left" w:pos="9187"/>
        </w:tabs>
        <w:ind w:left="2088" w:hanging="2088"/>
        <w:rPr>
          <w:rFonts w:cs="Times New Roman"/>
        </w:rPr>
      </w:pPr>
    </w:p>
    <w:p w:rsidR="00F10A8B" w:rsidRPr="00F10A8B" w:rsidRDefault="00F10A8B" w:rsidP="00F10A8B">
      <w:pPr>
        <w:widowControl w:val="0"/>
        <w:tabs>
          <w:tab w:val="right" w:pos="1008"/>
          <w:tab w:val="left" w:pos="1152"/>
          <w:tab w:val="left" w:pos="1872"/>
          <w:tab w:val="left" w:pos="9187"/>
        </w:tabs>
        <w:ind w:left="2088" w:hanging="2088"/>
        <w:rPr>
          <w:rFonts w:cs="Times New Roman"/>
        </w:rPr>
      </w:pP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0A8B">
        <w:rPr>
          <w:rFonts w:cs="Times New Roman"/>
          <w:b/>
        </w:rPr>
        <w:t>VERSIONS OF THIS BILL</w:t>
      </w:r>
    </w:p>
    <w:p w:rsidR="00F10A8B" w:rsidRPr="00F10A8B" w:rsidRDefault="00F10A8B"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8B" w:rsidRPr="00F10A8B" w:rsidRDefault="00C33315" w:rsidP="00F10A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F10A8B" w:rsidRPr="00F10A8B">
          <w:rPr>
            <w:rFonts w:cs="Times New Roman"/>
            <w:color w:val="0000FF" w:themeColor="hyperlink"/>
            <w:u w:val="single"/>
          </w:rPr>
          <w:t>2/19/2014</w:t>
        </w:r>
      </w:hyperlink>
    </w:p>
    <w:p w:rsidR="00F10A8B" w:rsidRPr="00F10A8B" w:rsidRDefault="00C33315" w:rsidP="00F1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F10A8B" w:rsidRPr="00F10A8B">
          <w:rPr>
            <w:rFonts w:cs="Times New Roman"/>
            <w:color w:val="0000FF" w:themeColor="hyperlink"/>
            <w:u w:val="single"/>
          </w:rPr>
          <w:t>3/5/2014</w:t>
        </w:r>
      </w:hyperlink>
    </w:p>
    <w:p w:rsidR="00F10A8B" w:rsidRPr="00F10A8B" w:rsidRDefault="00C33315" w:rsidP="00F1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F10A8B" w:rsidRPr="00F10A8B">
          <w:rPr>
            <w:rFonts w:cs="Times New Roman"/>
            <w:color w:val="0000FF" w:themeColor="hyperlink"/>
            <w:u w:val="single"/>
          </w:rPr>
          <w:t>3/6/2014</w:t>
        </w:r>
      </w:hyperlink>
    </w:p>
    <w:p w:rsidR="00F10A8B" w:rsidRPr="00F10A8B" w:rsidRDefault="00C33315" w:rsidP="00F1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F10A8B" w:rsidRPr="00F10A8B">
          <w:rPr>
            <w:rFonts w:cs="Times New Roman"/>
            <w:color w:val="0000FF" w:themeColor="hyperlink"/>
            <w:u w:val="single"/>
          </w:rPr>
          <w:t>3/13/2014</w:t>
        </w:r>
      </w:hyperlink>
    </w:p>
    <w:p w:rsidR="00F10A8B" w:rsidRPr="00F10A8B" w:rsidRDefault="00C33315" w:rsidP="00F1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10A8B" w:rsidRPr="00F10A8B">
          <w:rPr>
            <w:rFonts w:cs="Times New Roman"/>
            <w:color w:val="0000FF" w:themeColor="hyperlink"/>
            <w:u w:val="single"/>
          </w:rPr>
          <w:t>5/15/2014</w:t>
        </w:r>
      </w:hyperlink>
    </w:p>
    <w:p w:rsidR="00F10A8B" w:rsidRPr="00F10A8B" w:rsidRDefault="00F10A8B" w:rsidP="00F1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0A8B" w:rsidRDefault="00F10A8B" w:rsidP="00F10A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10A8B" w:rsidSect="00F10A8B">
          <w:pgSz w:w="12240" w:h="15840" w:code="1"/>
          <w:pgMar w:top="1080" w:right="1440" w:bottom="1080" w:left="1440" w:header="720" w:footer="720" w:gutter="0"/>
          <w:pgNumType w:start="1"/>
          <w:cols w:space="720"/>
          <w:noEndnote/>
          <w:docGrid w:linePitch="360"/>
        </w:sectPr>
      </w:pPr>
    </w:p>
    <w:p w:rsidR="00284A0A"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(A220, R228, S1033)</w:t>
      </w:r>
    </w:p>
    <w:p w:rsidR="00284A0A" w:rsidRPr="008836A5"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84A0A" w:rsidRPr="00F10A8B"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10A8B">
        <w:rPr>
          <w:rFonts w:cs="Times New Roman"/>
          <w:b/>
          <w:color w:val="000000" w:themeColor="text1"/>
          <w:szCs w:val="36"/>
        </w:rPr>
        <w:t xml:space="preserve">AN ACT </w:t>
      </w:r>
      <w:r w:rsidRPr="00F10A8B">
        <w:rPr>
          <w:rFonts w:cs="Times New Roman"/>
          <w:b/>
        </w:rPr>
        <w:t>TO AMEND THE CODE OF LAWS OF SOUTH CAROLINA, 1976, BY ADDING SECTION 12</w:t>
      </w:r>
      <w:r w:rsidRPr="00F10A8B">
        <w:rPr>
          <w:rFonts w:cs="Times New Roman"/>
          <w:b/>
        </w:rPr>
        <w:noBreakHyphen/>
        <w:t>2</w:t>
      </w:r>
      <w:r w:rsidRPr="00F10A8B">
        <w:rPr>
          <w:rFonts w:cs="Times New Roman"/>
          <w:b/>
        </w:rPr>
        <w:noBreakHyphen/>
        <w:t>110 SO AS TO PROVIDE THAT AN OUT</w:t>
      </w:r>
      <w:r w:rsidRPr="00F10A8B">
        <w:rPr>
          <w:rFonts w:cs="Times New Roman"/>
          <w:b/>
        </w:rPr>
        <w:noBreakHyphen/>
        <w:t>OF</w:t>
      </w:r>
      <w:r w:rsidRPr="00F10A8B">
        <w:rPr>
          <w:rFonts w:cs="Times New Roman"/>
          <w:b/>
        </w:rPr>
        <w:noBreakHyphen/>
        <w:t>STATE BUSINESS OR EMPLOYEE THAT PERFORMS DISASTER OR EMERGENCY</w:t>
      </w:r>
      <w:r w:rsidRPr="00F10A8B">
        <w:rPr>
          <w:rFonts w:cs="Times New Roman"/>
          <w:b/>
        </w:rPr>
        <w:noBreakHyphen/>
        <w:t>RELATED WORK IN THIS STATE IS EXEMPT FROM CERTAIN LICENSING AND TAXING PROVISIONS DURING THE DISASTER PERIOD, TO DEFINE TERMS, AND TO PROVIDE NOTICE REQUIREMENTS</w:t>
      </w:r>
      <w:r w:rsidRPr="00F10A8B">
        <w:rPr>
          <w:rFonts w:cs="Times New Roman"/>
          <w:b/>
          <w:color w:val="000000" w:themeColor="text1"/>
          <w:u w:color="000000" w:themeColor="text1"/>
        </w:rPr>
        <w:t>.</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84A0A"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D7F53">
        <w:rPr>
          <w:rFonts w:eastAsia="Times New Roman" w:cs="Times New Roman"/>
        </w:rPr>
        <w:t>Be it enacted by the General Assembly of the State of South Carolina:</w:t>
      </w:r>
    </w:p>
    <w:p w:rsidR="00284A0A"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84A0A" w:rsidRPr="00611724"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Out</w:t>
      </w:r>
      <w:r>
        <w:rPr>
          <w:rFonts w:eastAsia="Times New Roman" w:cs="Times New Roman"/>
          <w:b/>
        </w:rPr>
        <w:noBreakHyphen/>
        <w:t>of</w:t>
      </w:r>
      <w:r>
        <w:rPr>
          <w:rFonts w:eastAsia="Times New Roman" w:cs="Times New Roman"/>
          <w:b/>
        </w:rPr>
        <w:noBreakHyphen/>
        <w:t>state business performing disaster or emergency</w:t>
      </w:r>
      <w:r>
        <w:rPr>
          <w:rFonts w:eastAsia="Times New Roman" w:cs="Times New Roman"/>
          <w:b/>
        </w:rPr>
        <w:noBreakHyphen/>
        <w:t>related work exempt from certain licensing and taxing requirements</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D7F53">
        <w:rPr>
          <w:rFonts w:eastAsia="Times New Roman" w:cs="Times New Roman"/>
        </w:rPr>
        <w:t>SECTION</w:t>
      </w:r>
      <w:r w:rsidRPr="000D7F53">
        <w:rPr>
          <w:rFonts w:eastAsia="Times New Roman" w:cs="Times New Roman"/>
        </w:rPr>
        <w:tab/>
        <w:t>1.</w:t>
      </w:r>
      <w:r w:rsidRPr="000D7F53">
        <w:rPr>
          <w:rFonts w:eastAsia="Times New Roman" w:cs="Times New Roman"/>
        </w:rPr>
        <w:tab/>
        <w:t>Chapter 2, Title 12 of the 1976 Code is amended by adding:</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0D7F53">
        <w:rPr>
          <w:rFonts w:cs="Times New Roman"/>
          <w:color w:val="000000" w:themeColor="text1"/>
          <w:u w:color="000000" w:themeColor="text1"/>
        </w:rPr>
        <w:t>“Section 12</w:t>
      </w:r>
      <w:r>
        <w:rPr>
          <w:rFonts w:cs="Times New Roman"/>
          <w:color w:val="000000" w:themeColor="text1"/>
          <w:u w:color="000000" w:themeColor="text1"/>
        </w:rPr>
        <w:noBreakHyphen/>
      </w:r>
      <w:r w:rsidRPr="000D7F53">
        <w:rPr>
          <w:rFonts w:cs="Times New Roman"/>
          <w:color w:val="000000" w:themeColor="text1"/>
          <w:u w:color="000000" w:themeColor="text1"/>
        </w:rPr>
        <w:t>2</w:t>
      </w:r>
      <w:r>
        <w:rPr>
          <w:rFonts w:cs="Times New Roman"/>
          <w:color w:val="000000" w:themeColor="text1"/>
          <w:u w:color="000000" w:themeColor="text1"/>
        </w:rPr>
        <w:noBreakHyphen/>
      </w:r>
      <w:r w:rsidRPr="000D7F53">
        <w:rPr>
          <w:rFonts w:cs="Times New Roman"/>
          <w:color w:val="000000" w:themeColor="text1"/>
          <w:u w:color="000000" w:themeColor="text1"/>
        </w:rPr>
        <w:t>110.</w:t>
      </w:r>
      <w:r w:rsidRPr="000D7F53">
        <w:rPr>
          <w:rFonts w:cs="Times New Roman"/>
          <w:color w:val="000000" w:themeColor="text1"/>
          <w:u w:color="000000" w:themeColor="text1"/>
        </w:rPr>
        <w:tab/>
        <w:t>(A)</w:t>
      </w:r>
      <w:r w:rsidRPr="000D7F53">
        <w:rPr>
          <w:rFonts w:cs="Times New Roman"/>
          <w:color w:val="000000" w:themeColor="text1"/>
          <w:u w:color="000000" w:themeColor="text1"/>
        </w:rPr>
        <w:tab/>
        <w:t>For purposes of this section:</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(1)</w:t>
      </w:r>
      <w:r w:rsidRPr="000D7F53">
        <w:rPr>
          <w:rFonts w:cs="Times New Roman"/>
          <w:color w:val="000000" w:themeColor="text1"/>
          <w:u w:color="000000" w:themeColor="text1"/>
        </w:rPr>
        <w:tab/>
      </w:r>
      <w:r w:rsidRPr="00611724">
        <w:rPr>
          <w:rFonts w:cs="Times New Roman"/>
          <w:color w:val="000000" w:themeColor="text1"/>
          <w:u w:color="000000" w:themeColor="text1"/>
        </w:rPr>
        <w:t>‘</w:t>
      </w:r>
      <w:r w:rsidRPr="000D7F53">
        <w:rPr>
          <w:rFonts w:cs="Times New Roman"/>
          <w:color w:val="000000" w:themeColor="text1"/>
          <w:u w:color="000000" w:themeColor="text1"/>
        </w:rPr>
        <w:t>Registered business in this State</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or </w:t>
      </w:r>
      <w:r w:rsidRPr="00611724">
        <w:rPr>
          <w:rFonts w:cs="Times New Roman"/>
          <w:color w:val="000000" w:themeColor="text1"/>
          <w:u w:color="000000" w:themeColor="text1"/>
        </w:rPr>
        <w:t>‘</w:t>
      </w:r>
      <w:r w:rsidRPr="000D7F53">
        <w:rPr>
          <w:rFonts w:cs="Times New Roman"/>
          <w:color w:val="000000" w:themeColor="text1"/>
          <w:u w:color="000000" w:themeColor="text1"/>
        </w:rPr>
        <w:t>registered business</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means a business entity that is registered to do business in this State before the declared state disaster or emergency.</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(2)</w:t>
      </w:r>
      <w:r w:rsidRPr="000D7F53">
        <w:rPr>
          <w:rFonts w:cs="Times New Roman"/>
          <w:color w:val="000000" w:themeColor="text1"/>
          <w:u w:color="000000" w:themeColor="text1"/>
        </w:rPr>
        <w:tab/>
      </w:r>
      <w:r w:rsidRPr="00611724">
        <w:rPr>
          <w:rFonts w:cs="Times New Roman"/>
          <w:color w:val="000000" w:themeColor="text1"/>
          <w:u w:color="000000" w:themeColor="text1"/>
        </w:rPr>
        <w:t>‘</w:t>
      </w:r>
      <w:r w:rsidRPr="000D7F53">
        <w:rPr>
          <w:rFonts w:cs="Times New Roman"/>
          <w:color w:val="000000" w:themeColor="text1"/>
          <w:u w:color="000000" w:themeColor="text1"/>
        </w:rPr>
        <w:t>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means a business entity that has no presence in the State and conducts no business in this State whose services are requested by a registered business or by a state or local government for purposes of performing disaster or emergency</w:t>
      </w:r>
      <w:r>
        <w:rPr>
          <w:rFonts w:cs="Times New Roman"/>
          <w:color w:val="000000" w:themeColor="text1"/>
          <w:u w:color="000000" w:themeColor="text1"/>
        </w:rPr>
        <w:noBreakHyphen/>
      </w:r>
      <w:r w:rsidRPr="000D7F53">
        <w:rPr>
          <w:rFonts w:cs="Times New Roman"/>
          <w:color w:val="000000" w:themeColor="text1"/>
          <w:u w:color="000000" w:themeColor="text1"/>
        </w:rPr>
        <w:t>related work in this State. This term includes a business entity that is affiliated with the registered business in this State solely through common ownership. The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must have no registrations or tax filings or nexus in the State before the declared state disaster or emergency.</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(3)</w:t>
      </w:r>
      <w:r w:rsidRPr="000D7F53">
        <w:rPr>
          <w:rFonts w:cs="Times New Roman"/>
          <w:color w:val="000000" w:themeColor="text1"/>
          <w:u w:color="000000" w:themeColor="text1"/>
        </w:rPr>
        <w:tab/>
      </w:r>
      <w:r w:rsidRPr="00611724">
        <w:rPr>
          <w:rFonts w:cs="Times New Roman"/>
          <w:color w:val="000000" w:themeColor="text1"/>
          <w:u w:color="000000" w:themeColor="text1"/>
        </w:rPr>
        <w:t>‘</w:t>
      </w:r>
      <w:r w:rsidRPr="000D7F53">
        <w:rPr>
          <w:rFonts w:cs="Times New Roman"/>
          <w:color w:val="000000" w:themeColor="text1"/>
          <w:u w:color="000000" w:themeColor="text1"/>
        </w:rPr>
        <w:t>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employee</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means an employee who does not reside in or work in the State, e</w:t>
      </w:r>
      <w:r>
        <w:rPr>
          <w:rFonts w:cs="Times New Roman"/>
          <w:color w:val="000000" w:themeColor="text1"/>
          <w:u w:color="000000" w:themeColor="text1"/>
        </w:rPr>
        <w:t>xcept for disaster or emergency</w:t>
      </w:r>
      <w:r>
        <w:rPr>
          <w:rFonts w:cs="Times New Roman"/>
          <w:color w:val="000000" w:themeColor="text1"/>
          <w:u w:color="000000" w:themeColor="text1"/>
        </w:rPr>
        <w:noBreakHyphen/>
      </w:r>
      <w:r w:rsidRPr="000D7F53">
        <w:rPr>
          <w:rFonts w:cs="Times New Roman"/>
          <w:color w:val="000000" w:themeColor="text1"/>
          <w:u w:color="000000" w:themeColor="text1"/>
        </w:rPr>
        <w:t>related work during the disaster period.</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(4)</w:t>
      </w:r>
      <w:r w:rsidRPr="000D7F53">
        <w:rPr>
          <w:rFonts w:cs="Times New Roman"/>
          <w:color w:val="000000" w:themeColor="text1"/>
          <w:u w:color="000000" w:themeColor="text1"/>
        </w:rPr>
        <w:tab/>
      </w:r>
      <w:r w:rsidRPr="00611724">
        <w:rPr>
          <w:rFonts w:cs="Times New Roman"/>
          <w:color w:val="000000" w:themeColor="text1"/>
          <w:u w:color="000000" w:themeColor="text1"/>
        </w:rPr>
        <w:t>‘</w:t>
      </w:r>
      <w:r w:rsidRPr="000D7F53">
        <w:rPr>
          <w:rFonts w:cs="Times New Roman"/>
          <w:color w:val="000000" w:themeColor="text1"/>
          <w:u w:color="000000" w:themeColor="text1"/>
        </w:rPr>
        <w:t>Infrastructure</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means property and equipment owned or used by communications networks, electric generation, transmission and distribution systems, gas distribution systems, water pipelines, and public roads and bridges and related support facilities that services multiple customers or citizens including, but not limited to, real and personal property such as buildings, offices, lines, poles, pipes, structures</w:t>
      </w:r>
      <w:r>
        <w:rPr>
          <w:rFonts w:cs="Times New Roman"/>
          <w:color w:val="000000" w:themeColor="text1"/>
          <w:u w:color="000000" w:themeColor="text1"/>
        </w:rPr>
        <w:t>,</w:t>
      </w:r>
      <w:r w:rsidRPr="000D7F53">
        <w:rPr>
          <w:rFonts w:cs="Times New Roman"/>
          <w:color w:val="000000" w:themeColor="text1"/>
          <w:u w:color="000000" w:themeColor="text1"/>
        </w:rPr>
        <w:t xml:space="preserve"> and equipment.</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lastRenderedPageBreak/>
        <w:tab/>
      </w:r>
      <w:r w:rsidRPr="000D7F53">
        <w:rPr>
          <w:rFonts w:cs="Times New Roman"/>
          <w:color w:val="000000" w:themeColor="text1"/>
          <w:u w:color="000000" w:themeColor="text1"/>
        </w:rPr>
        <w:tab/>
        <w:t>(5)</w:t>
      </w:r>
      <w:r w:rsidRPr="000D7F53">
        <w:rPr>
          <w:rFonts w:cs="Times New Roman"/>
          <w:color w:val="000000" w:themeColor="text1"/>
          <w:u w:color="000000" w:themeColor="text1"/>
        </w:rPr>
        <w:tab/>
      </w:r>
      <w:r w:rsidRPr="00611724">
        <w:rPr>
          <w:rFonts w:cs="Times New Roman"/>
          <w:color w:val="000000" w:themeColor="text1"/>
          <w:u w:color="000000" w:themeColor="text1"/>
        </w:rPr>
        <w:t>‘</w:t>
      </w:r>
      <w:r w:rsidRPr="000D7F53">
        <w:rPr>
          <w:rFonts w:cs="Times New Roman"/>
          <w:color w:val="000000" w:themeColor="text1"/>
          <w:u w:color="000000" w:themeColor="text1"/>
        </w:rPr>
        <w:t>Declared state disaster or emergency</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means a disaster or emergency event:</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r>
      <w:r w:rsidRPr="000D7F53">
        <w:rPr>
          <w:rFonts w:cs="Times New Roman"/>
          <w:color w:val="000000" w:themeColor="text1"/>
          <w:u w:color="000000" w:themeColor="text1"/>
        </w:rPr>
        <w:tab/>
        <w:t>(a)</w:t>
      </w:r>
      <w:r w:rsidRPr="000D7F53">
        <w:rPr>
          <w:rFonts w:cs="Times New Roman"/>
          <w:color w:val="000000" w:themeColor="text1"/>
          <w:u w:color="000000" w:themeColor="text1"/>
        </w:rPr>
        <w:tab/>
        <w:t>for which a Governor</w:t>
      </w:r>
      <w:r w:rsidRPr="00611724">
        <w:rPr>
          <w:rFonts w:cs="Times New Roman"/>
          <w:color w:val="000000" w:themeColor="text1"/>
          <w:u w:color="000000" w:themeColor="text1"/>
        </w:rPr>
        <w:t>’</w:t>
      </w:r>
      <w:r w:rsidRPr="000D7F53">
        <w:rPr>
          <w:rFonts w:cs="Times New Roman"/>
          <w:color w:val="000000" w:themeColor="text1"/>
          <w:u w:color="000000" w:themeColor="text1"/>
        </w:rPr>
        <w:t>s state of emergency proclamation has been issued;</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r>
      <w:r w:rsidRPr="000D7F53">
        <w:rPr>
          <w:rFonts w:cs="Times New Roman"/>
          <w:color w:val="000000" w:themeColor="text1"/>
          <w:u w:color="000000" w:themeColor="text1"/>
        </w:rPr>
        <w:tab/>
        <w:t>(b)</w:t>
      </w:r>
      <w:r w:rsidRPr="000D7F53">
        <w:rPr>
          <w:rFonts w:cs="Times New Roman"/>
          <w:color w:val="000000" w:themeColor="text1"/>
          <w:u w:color="000000" w:themeColor="text1"/>
        </w:rPr>
        <w:tab/>
        <w:t>for which a presidential declaration of a federal major disaster or emergency has been issued; or</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r>
      <w:r w:rsidRPr="000D7F53">
        <w:rPr>
          <w:rFonts w:cs="Times New Roman"/>
          <w:color w:val="000000" w:themeColor="text1"/>
          <w:u w:color="000000" w:themeColor="text1"/>
        </w:rPr>
        <w:tab/>
        <w:t>(c)</w:t>
      </w:r>
      <w:r w:rsidRPr="000D7F53">
        <w:rPr>
          <w:rFonts w:cs="Times New Roman"/>
          <w:color w:val="000000" w:themeColor="text1"/>
          <w:u w:color="000000" w:themeColor="text1"/>
        </w:rPr>
        <w:tab/>
        <w:t>other disaster or emergency event within this State for which a good faith response effort is required, and for which the Director of the South Carolina Department of Revenue designates the event as a disaster or emergency and thereby invokes this section.</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(6)</w:t>
      </w:r>
      <w:r w:rsidRPr="000D7F53">
        <w:rPr>
          <w:rFonts w:cs="Times New Roman"/>
          <w:color w:val="000000" w:themeColor="text1"/>
          <w:u w:color="000000" w:themeColor="text1"/>
        </w:rPr>
        <w:tab/>
      </w:r>
      <w:r w:rsidRPr="00611724">
        <w:rPr>
          <w:rFonts w:cs="Times New Roman"/>
          <w:color w:val="000000" w:themeColor="text1"/>
          <w:u w:color="000000" w:themeColor="text1"/>
        </w:rPr>
        <w:t>‘</w:t>
      </w:r>
      <w:r w:rsidRPr="000D7F53">
        <w:rPr>
          <w:rFonts w:cs="Times New Roman"/>
          <w:color w:val="000000" w:themeColor="text1"/>
          <w:u w:color="000000" w:themeColor="text1"/>
        </w:rPr>
        <w:t>Disaster period</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means a period that begins within ten days of the first day of the Governor</w:t>
      </w:r>
      <w:r w:rsidRPr="00611724">
        <w:rPr>
          <w:rFonts w:cs="Times New Roman"/>
          <w:color w:val="000000" w:themeColor="text1"/>
          <w:u w:color="000000" w:themeColor="text1"/>
        </w:rPr>
        <w:t>’</w:t>
      </w:r>
      <w:r w:rsidRPr="000D7F53">
        <w:rPr>
          <w:rFonts w:cs="Times New Roman"/>
          <w:color w:val="000000" w:themeColor="text1"/>
          <w:u w:color="000000" w:themeColor="text1"/>
        </w:rPr>
        <w:t>s proclamation, the President</w:t>
      </w:r>
      <w:r w:rsidRPr="00611724">
        <w:rPr>
          <w:rFonts w:cs="Times New Roman"/>
          <w:color w:val="000000" w:themeColor="text1"/>
          <w:u w:color="000000" w:themeColor="text1"/>
        </w:rPr>
        <w:t>’</w:t>
      </w:r>
      <w:r w:rsidRPr="000D7F53">
        <w:rPr>
          <w:rFonts w:cs="Times New Roman"/>
          <w:color w:val="000000" w:themeColor="text1"/>
          <w:u w:color="000000" w:themeColor="text1"/>
        </w:rPr>
        <w:t>s declaration</w:t>
      </w:r>
      <w:r>
        <w:rPr>
          <w:rFonts w:cs="Times New Roman"/>
          <w:color w:val="000000" w:themeColor="text1"/>
          <w:u w:color="000000" w:themeColor="text1"/>
        </w:rPr>
        <w:t>,</w:t>
      </w:r>
      <w:r w:rsidRPr="000D7F53">
        <w:rPr>
          <w:rFonts w:cs="Times New Roman"/>
          <w:color w:val="000000" w:themeColor="text1"/>
          <w:u w:color="000000" w:themeColor="text1"/>
        </w:rPr>
        <w:t xml:space="preserve"> or designation by the Director of the Department of Revenue, whichever occurs first, and that extends for a period of sixty calendar days after the end of the declared </w:t>
      </w:r>
      <w:r>
        <w:rPr>
          <w:rFonts w:cs="Times New Roman"/>
          <w:color w:val="000000" w:themeColor="text1"/>
          <w:u w:color="000000" w:themeColor="text1"/>
        </w:rPr>
        <w:t xml:space="preserve">state </w:t>
      </w:r>
      <w:r w:rsidRPr="000D7F53">
        <w:rPr>
          <w:rFonts w:cs="Times New Roman"/>
          <w:color w:val="000000" w:themeColor="text1"/>
          <w:u w:color="000000" w:themeColor="text1"/>
        </w:rPr>
        <w:t>disaster or emergency period, or any longer period authorized by the designated state official or agency.</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(7)</w:t>
      </w:r>
      <w:r>
        <w:rPr>
          <w:rFonts w:cs="Times New Roman"/>
          <w:color w:val="000000" w:themeColor="text1"/>
          <w:u w:color="000000" w:themeColor="text1"/>
        </w:rPr>
        <w:tab/>
      </w:r>
      <w:r w:rsidRPr="00611724">
        <w:rPr>
          <w:rFonts w:cs="Times New Roman"/>
          <w:color w:val="000000" w:themeColor="text1"/>
          <w:u w:color="000000" w:themeColor="text1"/>
        </w:rPr>
        <w:t>‘</w:t>
      </w:r>
      <w:r>
        <w:rPr>
          <w:rFonts w:cs="Times New Roman"/>
          <w:color w:val="000000" w:themeColor="text1"/>
          <w:u w:color="000000" w:themeColor="text1"/>
        </w:rPr>
        <w:t>Disaster or emergency</w:t>
      </w:r>
      <w:r>
        <w:rPr>
          <w:rFonts w:cs="Times New Roman"/>
          <w:color w:val="000000" w:themeColor="text1"/>
          <w:u w:color="000000" w:themeColor="text1"/>
        </w:rPr>
        <w:noBreakHyphen/>
      </w:r>
      <w:r w:rsidRPr="000D7F53">
        <w:rPr>
          <w:rFonts w:cs="Times New Roman"/>
          <w:color w:val="000000" w:themeColor="text1"/>
          <w:u w:color="000000" w:themeColor="text1"/>
        </w:rPr>
        <w:t>related work</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means repairing, renovating, installing, building, rendering services or other business activities that relate to infrastructure that has been damaged, impaired, or destroyed by the event precipitating the declared state disaster or emergency.</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t>(B)(1)(a)</w:t>
      </w:r>
      <w:r w:rsidRPr="000D7F53">
        <w:rPr>
          <w:rFonts w:cs="Times New Roman"/>
          <w:color w:val="000000" w:themeColor="text1"/>
          <w:u w:color="000000" w:themeColor="text1"/>
        </w:rPr>
        <w:tab/>
        <w:t>An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that</w:t>
      </w:r>
      <w:r>
        <w:rPr>
          <w:rFonts w:cs="Times New Roman"/>
          <w:color w:val="000000" w:themeColor="text1"/>
          <w:u w:color="000000" w:themeColor="text1"/>
        </w:rPr>
        <w:t xml:space="preserve"> performs disaster or emergency</w:t>
      </w:r>
      <w:r>
        <w:rPr>
          <w:rFonts w:cs="Times New Roman"/>
          <w:color w:val="000000" w:themeColor="text1"/>
          <w:u w:color="000000" w:themeColor="text1"/>
        </w:rPr>
        <w:noBreakHyphen/>
      </w:r>
      <w:r w:rsidRPr="000D7F53">
        <w:rPr>
          <w:rFonts w:cs="Times New Roman"/>
          <w:color w:val="000000" w:themeColor="text1"/>
          <w:u w:color="000000" w:themeColor="text1"/>
        </w:rPr>
        <w:t>related work within this State related to a declared state disaster or emergency during a disaster period must not be considered to have established a level of presence that would require that business to register, file, and remit state or local taxes or that would require that business or its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employees to be subject to any state licensing or registration requirements or any combination of these actions. Except as provided in subsection (B)(1)(b), this exemption includes all state or local business licensing or registration requirements or state and local taxes or fees including, but not limited to, unemployment insurance, state or local occupational licensing fees, sales and use tax, or property tax on equipment used or consumed during the disaster period, and includes South Carolina Public Service Commission and Secretary of State licensing and regulatory requirements. For purposes of a state or local tax on or measured by, in whole or in part, net or gross income or receipts, all activity of the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resulting from its perfo</w:t>
      </w:r>
      <w:r>
        <w:rPr>
          <w:rFonts w:cs="Times New Roman"/>
          <w:color w:val="000000" w:themeColor="text1"/>
          <w:u w:color="000000" w:themeColor="text1"/>
        </w:rPr>
        <w:t>rmance of disaster or emergency</w:t>
      </w:r>
      <w:r>
        <w:rPr>
          <w:rFonts w:cs="Times New Roman"/>
          <w:color w:val="000000" w:themeColor="text1"/>
          <w:u w:color="000000" w:themeColor="text1"/>
        </w:rPr>
        <w:noBreakHyphen/>
      </w:r>
      <w:r w:rsidRPr="000D7F53">
        <w:rPr>
          <w:rFonts w:cs="Times New Roman"/>
          <w:color w:val="000000" w:themeColor="text1"/>
          <w:u w:color="000000" w:themeColor="text1"/>
        </w:rPr>
        <w:t xml:space="preserve">related work within this State related to a declared state disaster or emergency during a disaster period, must be disregarded with respect to any filing requirements for that tax including the filing </w:t>
      </w:r>
      <w:r w:rsidRPr="000D7F53">
        <w:rPr>
          <w:rFonts w:cs="Times New Roman"/>
          <w:color w:val="000000" w:themeColor="text1"/>
          <w:u w:color="000000" w:themeColor="text1"/>
        </w:rPr>
        <w:lastRenderedPageBreak/>
        <w:t>required for a unitary or combined group of which the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may be a part.</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r>
      <w:r w:rsidRPr="000D7F53">
        <w:rPr>
          <w:rFonts w:cs="Times New Roman"/>
          <w:color w:val="000000" w:themeColor="text1"/>
          <w:u w:color="000000" w:themeColor="text1"/>
        </w:rPr>
        <w:tab/>
        <w:t>(b)</w:t>
      </w:r>
      <w:r w:rsidRPr="000D7F53">
        <w:rPr>
          <w:rFonts w:cs="Times New Roman"/>
          <w:color w:val="000000" w:themeColor="text1"/>
          <w:u w:color="000000" w:themeColor="text1"/>
        </w:rPr>
        <w:tab/>
        <w:t>An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employee is not considered to have established residency or a presence in the State that would require that person or that person</w:t>
      </w:r>
      <w:r w:rsidRPr="00611724">
        <w:rPr>
          <w:rFonts w:cs="Times New Roman"/>
          <w:color w:val="000000" w:themeColor="text1"/>
          <w:u w:color="000000" w:themeColor="text1"/>
        </w:rPr>
        <w:t>’</w:t>
      </w:r>
      <w:r w:rsidRPr="000D7F53">
        <w:rPr>
          <w:rFonts w:cs="Times New Roman"/>
          <w:color w:val="000000" w:themeColor="text1"/>
          <w:u w:color="000000" w:themeColor="text1"/>
        </w:rPr>
        <w:t>s employer to file and pay income taxes or to be subjected to tax withholdings or to file and pay any other state or local tax or fee resulting from his performance of disaster or emergency</w:t>
      </w:r>
      <w:r>
        <w:rPr>
          <w:rFonts w:cs="Times New Roman"/>
          <w:color w:val="000000" w:themeColor="text1"/>
          <w:u w:color="000000" w:themeColor="text1"/>
        </w:rPr>
        <w:noBreakHyphen/>
      </w:r>
      <w:r w:rsidRPr="000D7F53">
        <w:rPr>
          <w:rFonts w:cs="Times New Roman"/>
          <w:color w:val="000000" w:themeColor="text1"/>
          <w:u w:color="000000" w:themeColor="text1"/>
        </w:rPr>
        <w:t>related work within this State related to a declared state disaster or emergency during a disaster period. This includes any related state or local employer withholding and remittance obligations.</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(2)</w:t>
      </w:r>
      <w:r w:rsidRPr="000D7F53">
        <w:rPr>
          <w:rFonts w:cs="Times New Roman"/>
          <w:color w:val="000000" w:themeColor="text1"/>
          <w:u w:color="000000" w:themeColor="text1"/>
        </w:rPr>
        <w:tab/>
        <w:t>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businesses and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employees are not exempted by this section from transaction taxes and fees including, but not limited to, fuel taxes and fuel user fees or sales and use taxes on materials or services subject to sales and use tax, accommodations taxes, car rental taxes or fees that the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affiliated business or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employee purchases for use or consumption in this State during the disaster period, unless the taxes or fees are otherwise exempted during a disaster period.</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(3)</w:t>
      </w:r>
      <w:r w:rsidRPr="000D7F53">
        <w:rPr>
          <w:rFonts w:cs="Times New Roman"/>
          <w:color w:val="000000" w:themeColor="text1"/>
          <w:u w:color="000000" w:themeColor="text1"/>
        </w:rPr>
        <w:tab/>
        <w:t>An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or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employee that remains in the State after the disaster period becomes subject to the state</w:t>
      </w:r>
      <w:r w:rsidRPr="00611724">
        <w:rPr>
          <w:rFonts w:cs="Times New Roman"/>
          <w:color w:val="000000" w:themeColor="text1"/>
          <w:u w:color="000000" w:themeColor="text1"/>
        </w:rPr>
        <w:t>’</w:t>
      </w:r>
      <w:r w:rsidRPr="000D7F53">
        <w:rPr>
          <w:rFonts w:cs="Times New Roman"/>
          <w:color w:val="000000" w:themeColor="text1"/>
          <w:u w:color="000000" w:themeColor="text1"/>
        </w:rPr>
        <w:t>s normal standards for establishing presence, residency</w:t>
      </w:r>
      <w:r>
        <w:rPr>
          <w:rFonts w:cs="Times New Roman"/>
          <w:color w:val="000000" w:themeColor="text1"/>
          <w:u w:color="000000" w:themeColor="text1"/>
        </w:rPr>
        <w:t>,</w:t>
      </w:r>
      <w:r w:rsidRPr="000D7F53">
        <w:rPr>
          <w:rFonts w:cs="Times New Roman"/>
          <w:color w:val="000000" w:themeColor="text1"/>
          <w:u w:color="000000" w:themeColor="text1"/>
        </w:rPr>
        <w:t xml:space="preserve"> or doing business in this State and the resulting requirements.</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t>(C)(1)(a)</w:t>
      </w:r>
      <w:r w:rsidRPr="000D7F53">
        <w:rPr>
          <w:rFonts w:cs="Times New Roman"/>
          <w:color w:val="000000" w:themeColor="text1"/>
          <w:u w:color="000000" w:themeColor="text1"/>
        </w:rPr>
        <w:tab/>
        <w:t>The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that enters this State upon request, shall provide to the Department of Revenue a notification statement that it is in this State for purposes of responding to the disaster or emergency, which statement must include the business</w:t>
      </w:r>
      <w:r w:rsidRPr="00611724">
        <w:rPr>
          <w:rFonts w:cs="Times New Roman"/>
          <w:color w:val="000000" w:themeColor="text1"/>
          <w:u w:color="000000" w:themeColor="text1"/>
        </w:rPr>
        <w:t>’</w:t>
      </w:r>
      <w:r w:rsidRPr="000D7F53">
        <w:rPr>
          <w:rFonts w:cs="Times New Roman"/>
          <w:color w:val="000000" w:themeColor="text1"/>
          <w:u w:color="000000" w:themeColor="text1"/>
        </w:rPr>
        <w:t xml:space="preserve"> name, state of domicile, principal business address, federal tax identification number, date of entry, and contact information.</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r>
      <w:r w:rsidRPr="000D7F53">
        <w:rPr>
          <w:rFonts w:cs="Times New Roman"/>
          <w:color w:val="000000" w:themeColor="text1"/>
          <w:u w:color="000000" w:themeColor="text1"/>
        </w:rPr>
        <w:tab/>
        <w:t>(b)</w:t>
      </w:r>
      <w:r w:rsidRPr="000D7F53">
        <w:rPr>
          <w:rFonts w:cs="Times New Roman"/>
          <w:color w:val="000000" w:themeColor="text1"/>
          <w:u w:color="000000" w:themeColor="text1"/>
        </w:rPr>
        <w:tab/>
        <w:t>A registered business in this State, upon request, shall provide the information required in item (1)(a) for an affiliate that enters this State that is an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The notification also must include contact information for the registered business in this State.</w:t>
      </w:r>
    </w:p>
    <w:p w:rsidR="00284A0A"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D7F53">
        <w:rPr>
          <w:rFonts w:cs="Times New Roman"/>
          <w:color w:val="000000" w:themeColor="text1"/>
          <w:u w:color="000000" w:themeColor="text1"/>
        </w:rPr>
        <w:tab/>
      </w:r>
      <w:r w:rsidRPr="000D7F53">
        <w:rPr>
          <w:rFonts w:cs="Times New Roman"/>
          <w:color w:val="000000" w:themeColor="text1"/>
          <w:u w:color="000000" w:themeColor="text1"/>
        </w:rPr>
        <w:tab/>
        <w:t>(2)</w:t>
      </w:r>
      <w:r w:rsidRPr="000D7F53">
        <w:rPr>
          <w:rFonts w:cs="Times New Roman"/>
          <w:color w:val="000000" w:themeColor="text1"/>
          <w:u w:color="000000" w:themeColor="text1"/>
        </w:rPr>
        <w:tab/>
        <w:t>An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business or an out</w:t>
      </w:r>
      <w:r>
        <w:rPr>
          <w:rFonts w:cs="Times New Roman"/>
          <w:color w:val="000000" w:themeColor="text1"/>
          <w:u w:color="000000" w:themeColor="text1"/>
        </w:rPr>
        <w:noBreakHyphen/>
      </w:r>
      <w:r w:rsidRPr="000D7F53">
        <w:rPr>
          <w:rFonts w:cs="Times New Roman"/>
          <w:color w:val="000000" w:themeColor="text1"/>
          <w:u w:color="000000" w:themeColor="text1"/>
        </w:rPr>
        <w:t>of</w:t>
      </w:r>
      <w:r>
        <w:rPr>
          <w:rFonts w:cs="Times New Roman"/>
          <w:color w:val="000000" w:themeColor="text1"/>
          <w:u w:color="000000" w:themeColor="text1"/>
        </w:rPr>
        <w:noBreakHyphen/>
      </w:r>
      <w:r w:rsidRPr="000D7F53">
        <w:rPr>
          <w:rFonts w:cs="Times New Roman"/>
          <w:color w:val="000000" w:themeColor="text1"/>
          <w:u w:color="000000" w:themeColor="text1"/>
        </w:rPr>
        <w:t>state employee that remains in this State after the disaster period shall notify the Department of Revenue and shall comply with state and local registration, licensing, and filing requirements that ensue as a result of establishing the requisite business presence or residency in this State.”</w:t>
      </w:r>
    </w:p>
    <w:p w:rsidR="00284A0A"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84A0A" w:rsidRPr="00611724"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84A0A" w:rsidRPr="000D7F53" w:rsidRDefault="00284A0A"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F53">
        <w:rPr>
          <w:rFonts w:eastAsia="Times New Roman" w:cs="Times New Roman"/>
        </w:rPr>
        <w:t>SECTION</w:t>
      </w:r>
      <w:r w:rsidRPr="000D7F53">
        <w:rPr>
          <w:rFonts w:eastAsia="Times New Roman" w:cs="Times New Roman"/>
        </w:rPr>
        <w:tab/>
        <w:t>2.</w:t>
      </w:r>
      <w:r w:rsidRPr="000D7F53">
        <w:rPr>
          <w:rFonts w:eastAsia="Times New Roman" w:cs="Times New Roman"/>
        </w:rPr>
        <w:tab/>
        <w:t>This act takes effect upon approval by the Governor.</w:t>
      </w:r>
    </w:p>
    <w:p w:rsidR="00284A0A" w:rsidRDefault="00284A0A" w:rsidP="00284A0A">
      <w:pPr>
        <w:tabs>
          <w:tab w:val="left" w:pos="1440"/>
          <w:tab w:val="left" w:pos="1800"/>
          <w:tab w:val="left" w:pos="2880"/>
        </w:tabs>
        <w:rPr>
          <w:color w:val="000000" w:themeColor="text1"/>
        </w:rPr>
      </w:pPr>
    </w:p>
    <w:p w:rsidR="00284A0A" w:rsidRDefault="00284A0A" w:rsidP="00284A0A">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284A0A" w:rsidRDefault="00284A0A" w:rsidP="00284A0A">
      <w:pPr>
        <w:tabs>
          <w:tab w:val="left" w:pos="1440"/>
          <w:tab w:val="left" w:pos="1800"/>
          <w:tab w:val="left" w:pos="2880"/>
        </w:tabs>
        <w:rPr>
          <w:color w:val="000000" w:themeColor="text1"/>
        </w:rPr>
      </w:pPr>
    </w:p>
    <w:p w:rsidR="00284A0A" w:rsidRDefault="00284A0A" w:rsidP="00284A0A">
      <w:pPr>
        <w:tabs>
          <w:tab w:val="left" w:pos="1440"/>
          <w:tab w:val="left" w:pos="1800"/>
          <w:tab w:val="left" w:pos="2880"/>
        </w:tabs>
        <w:rPr>
          <w:color w:val="000000" w:themeColor="text1"/>
        </w:rPr>
      </w:pPr>
      <w:r>
        <w:rPr>
          <w:color w:val="000000" w:themeColor="text1"/>
        </w:rPr>
        <w:t>Approved the 2</w:t>
      </w:r>
      <w:r w:rsidRPr="00A55FFA">
        <w:rPr>
          <w:color w:val="000000" w:themeColor="text1"/>
          <w:vertAlign w:val="superscript"/>
        </w:rPr>
        <w:t>nd</w:t>
      </w:r>
      <w:r>
        <w:rPr>
          <w:color w:val="000000" w:themeColor="text1"/>
        </w:rPr>
        <w:t xml:space="preserve"> day of June, 2014. </w:t>
      </w:r>
    </w:p>
    <w:p w:rsidR="00284A0A" w:rsidRDefault="00284A0A" w:rsidP="00284A0A">
      <w:pPr>
        <w:tabs>
          <w:tab w:val="left" w:pos="1440"/>
          <w:tab w:val="left" w:pos="1800"/>
          <w:tab w:val="left" w:pos="2880"/>
        </w:tabs>
        <w:jc w:val="center"/>
        <w:rPr>
          <w:color w:val="000000" w:themeColor="text1"/>
        </w:rPr>
      </w:pPr>
    </w:p>
    <w:p w:rsidR="00284A0A" w:rsidRDefault="00284A0A" w:rsidP="00284A0A">
      <w:pPr>
        <w:tabs>
          <w:tab w:val="left" w:pos="1440"/>
          <w:tab w:val="left" w:pos="1800"/>
          <w:tab w:val="left" w:pos="2880"/>
        </w:tabs>
        <w:jc w:val="center"/>
        <w:rPr>
          <w:color w:val="000000" w:themeColor="text1"/>
        </w:rPr>
      </w:pPr>
      <w:r>
        <w:rPr>
          <w:color w:val="000000" w:themeColor="text1"/>
        </w:rPr>
        <w:t>__________</w:t>
      </w:r>
    </w:p>
    <w:p w:rsidR="00F3401C" w:rsidRDefault="00F3401C" w:rsidP="00284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3401C" w:rsidSect="00F10A8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C5" w:rsidRDefault="00502AC5" w:rsidP="007D5FAC">
      <w:r>
        <w:separator/>
      </w:r>
    </w:p>
  </w:endnote>
  <w:endnote w:type="continuationSeparator" w:id="0">
    <w:p w:rsidR="00502AC5" w:rsidRDefault="00502AC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8B" w:rsidRPr="00F10A8B" w:rsidRDefault="00F10A8B" w:rsidP="00F10A8B">
    <w:pPr>
      <w:pStyle w:val="Footer"/>
      <w:tabs>
        <w:tab w:val="clear" w:pos="4680"/>
        <w:tab w:val="clear" w:pos="9360"/>
        <w:tab w:val="center" w:pos="3168"/>
      </w:tabs>
      <w:spacing w:before="120"/>
    </w:pPr>
    <w:r>
      <w:tab/>
    </w:r>
    <w:r w:rsidR="00F065D3">
      <w:fldChar w:fldCharType="begin"/>
    </w:r>
    <w:r w:rsidR="00F065D3">
      <w:instrText xml:space="preserve"> PAGE  \* MERGEFORMAT </w:instrText>
    </w:r>
    <w:r w:rsidR="00F065D3">
      <w:fldChar w:fldCharType="separate"/>
    </w:r>
    <w:r w:rsidR="00C33315">
      <w:rPr>
        <w:noProof/>
      </w:rPr>
      <w:t>2</w:t>
    </w:r>
    <w:r w:rsidR="00F065D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8B" w:rsidRDefault="00F10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C5" w:rsidRDefault="00502AC5" w:rsidP="007D5FAC">
      <w:r>
        <w:separator/>
      </w:r>
    </w:p>
  </w:footnote>
  <w:footnote w:type="continuationSeparator" w:id="0">
    <w:p w:rsidR="00502AC5" w:rsidRDefault="00502AC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033"/>
    <w:docVar w:name="ActSecretary" w:val="Huth"/>
    <w:docVar w:name="ActSIdno" w:val="(264)  1033DG14"/>
    <w:docVar w:name="clipname" w:val="1033DG14"/>
    <w:docVar w:name="dvBillNumber" w:val="1033"/>
    <w:docVar w:name="dvBillNumberPrefix" w:val="S"/>
    <w:docVar w:name="dvOriginalBody" w:val="Senate"/>
    <w:docVar w:name="OrigSENATEBillNo" w:val="1033"/>
    <w:docVar w:name="SENATEACTFULLPATH" w:val="L:\COUNCIL\ACTS\1033DG14.DOCX"/>
    <w:docVar w:name="WhatActtype" w:val="AN ACT"/>
  </w:docVars>
  <w:rsids>
    <w:rsidRoot w:val="006F7E27"/>
    <w:rsid w:val="00001FA4"/>
    <w:rsid w:val="00002DE0"/>
    <w:rsid w:val="00015AF0"/>
    <w:rsid w:val="00020349"/>
    <w:rsid w:val="00021B0B"/>
    <w:rsid w:val="00030487"/>
    <w:rsid w:val="00040C05"/>
    <w:rsid w:val="00043D8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3B3E"/>
    <w:rsid w:val="000D356E"/>
    <w:rsid w:val="000D5604"/>
    <w:rsid w:val="000D6F51"/>
    <w:rsid w:val="000E1129"/>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6103"/>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3B33"/>
    <w:rsid w:val="00204492"/>
    <w:rsid w:val="00206EF4"/>
    <w:rsid w:val="00212088"/>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57B2E"/>
    <w:rsid w:val="002710C8"/>
    <w:rsid w:val="00273EA7"/>
    <w:rsid w:val="00274843"/>
    <w:rsid w:val="00275CBF"/>
    <w:rsid w:val="00276491"/>
    <w:rsid w:val="00276CCF"/>
    <w:rsid w:val="00277C27"/>
    <w:rsid w:val="00277C2D"/>
    <w:rsid w:val="00280582"/>
    <w:rsid w:val="00280946"/>
    <w:rsid w:val="0028169E"/>
    <w:rsid w:val="00284A0A"/>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4B5"/>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67E1"/>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2CC1"/>
    <w:rsid w:val="003C64FE"/>
    <w:rsid w:val="003D2A73"/>
    <w:rsid w:val="003E0D7B"/>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077F"/>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39A"/>
    <w:rsid w:val="004F5867"/>
    <w:rsid w:val="004F6446"/>
    <w:rsid w:val="00502AC5"/>
    <w:rsid w:val="00502D45"/>
    <w:rsid w:val="005065EC"/>
    <w:rsid w:val="005208D0"/>
    <w:rsid w:val="00521203"/>
    <w:rsid w:val="00522B8D"/>
    <w:rsid w:val="00530D7F"/>
    <w:rsid w:val="00531A4F"/>
    <w:rsid w:val="005325C5"/>
    <w:rsid w:val="0053326B"/>
    <w:rsid w:val="005352AA"/>
    <w:rsid w:val="0053576C"/>
    <w:rsid w:val="0054323B"/>
    <w:rsid w:val="005515CE"/>
    <w:rsid w:val="005549B0"/>
    <w:rsid w:val="00556774"/>
    <w:rsid w:val="00556D79"/>
    <w:rsid w:val="00560EBF"/>
    <w:rsid w:val="005627E7"/>
    <w:rsid w:val="00562952"/>
    <w:rsid w:val="005672F0"/>
    <w:rsid w:val="005741F9"/>
    <w:rsid w:val="00582347"/>
    <w:rsid w:val="005839FC"/>
    <w:rsid w:val="00583CB3"/>
    <w:rsid w:val="005859EE"/>
    <w:rsid w:val="00590D1D"/>
    <w:rsid w:val="00591D7C"/>
    <w:rsid w:val="00594D39"/>
    <w:rsid w:val="00597B9A"/>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1724"/>
    <w:rsid w:val="00612BB0"/>
    <w:rsid w:val="006236C9"/>
    <w:rsid w:val="00625487"/>
    <w:rsid w:val="00626F43"/>
    <w:rsid w:val="00627F05"/>
    <w:rsid w:val="0063724D"/>
    <w:rsid w:val="0064018A"/>
    <w:rsid w:val="00641A70"/>
    <w:rsid w:val="00643998"/>
    <w:rsid w:val="006462FA"/>
    <w:rsid w:val="00655550"/>
    <w:rsid w:val="00657AB1"/>
    <w:rsid w:val="00663AC3"/>
    <w:rsid w:val="00672966"/>
    <w:rsid w:val="006750A0"/>
    <w:rsid w:val="00683FDC"/>
    <w:rsid w:val="00690F2C"/>
    <w:rsid w:val="00690F99"/>
    <w:rsid w:val="00691B24"/>
    <w:rsid w:val="00694E19"/>
    <w:rsid w:val="00696C4D"/>
    <w:rsid w:val="00696F5B"/>
    <w:rsid w:val="006A4214"/>
    <w:rsid w:val="006A5B40"/>
    <w:rsid w:val="006A65C8"/>
    <w:rsid w:val="006A6F1D"/>
    <w:rsid w:val="006A7D8A"/>
    <w:rsid w:val="006A7E81"/>
    <w:rsid w:val="006B263A"/>
    <w:rsid w:val="006B4FA6"/>
    <w:rsid w:val="006C7535"/>
    <w:rsid w:val="006C7D00"/>
    <w:rsid w:val="006C7DDE"/>
    <w:rsid w:val="006F22C0"/>
    <w:rsid w:val="006F290C"/>
    <w:rsid w:val="006F7E27"/>
    <w:rsid w:val="007009F2"/>
    <w:rsid w:val="00704FF9"/>
    <w:rsid w:val="007052EC"/>
    <w:rsid w:val="00707063"/>
    <w:rsid w:val="007127A6"/>
    <w:rsid w:val="00731C9E"/>
    <w:rsid w:val="00734C77"/>
    <w:rsid w:val="00735541"/>
    <w:rsid w:val="00737039"/>
    <w:rsid w:val="007373C7"/>
    <w:rsid w:val="007469F9"/>
    <w:rsid w:val="0074783A"/>
    <w:rsid w:val="007514EF"/>
    <w:rsid w:val="0075324D"/>
    <w:rsid w:val="00755361"/>
    <w:rsid w:val="00764BFB"/>
    <w:rsid w:val="00765D0A"/>
    <w:rsid w:val="007664A2"/>
    <w:rsid w:val="007746C2"/>
    <w:rsid w:val="00775216"/>
    <w:rsid w:val="00775B87"/>
    <w:rsid w:val="00780E63"/>
    <w:rsid w:val="00782819"/>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6728"/>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849"/>
    <w:rsid w:val="00A25E64"/>
    <w:rsid w:val="00A26387"/>
    <w:rsid w:val="00A3022E"/>
    <w:rsid w:val="00A37939"/>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37C74"/>
    <w:rsid w:val="00B408FD"/>
    <w:rsid w:val="00B417DE"/>
    <w:rsid w:val="00B4797F"/>
    <w:rsid w:val="00B5136B"/>
    <w:rsid w:val="00B516BA"/>
    <w:rsid w:val="00B520A2"/>
    <w:rsid w:val="00B62CAB"/>
    <w:rsid w:val="00B657F4"/>
    <w:rsid w:val="00B72ED3"/>
    <w:rsid w:val="00B73571"/>
    <w:rsid w:val="00B74177"/>
    <w:rsid w:val="00B83DA1"/>
    <w:rsid w:val="00B840EA"/>
    <w:rsid w:val="00B846E9"/>
    <w:rsid w:val="00BA1B51"/>
    <w:rsid w:val="00BB1593"/>
    <w:rsid w:val="00BB43F6"/>
    <w:rsid w:val="00BB7B1B"/>
    <w:rsid w:val="00BC5FF9"/>
    <w:rsid w:val="00BE36EB"/>
    <w:rsid w:val="00BE41F8"/>
    <w:rsid w:val="00BF1B60"/>
    <w:rsid w:val="00BF2034"/>
    <w:rsid w:val="00BF33CD"/>
    <w:rsid w:val="00BF352D"/>
    <w:rsid w:val="00BF6E92"/>
    <w:rsid w:val="00C0158B"/>
    <w:rsid w:val="00C029D8"/>
    <w:rsid w:val="00C02F6F"/>
    <w:rsid w:val="00C0357C"/>
    <w:rsid w:val="00C03629"/>
    <w:rsid w:val="00C04FCB"/>
    <w:rsid w:val="00C06FF3"/>
    <w:rsid w:val="00C1173A"/>
    <w:rsid w:val="00C12583"/>
    <w:rsid w:val="00C15148"/>
    <w:rsid w:val="00C216F6"/>
    <w:rsid w:val="00C2227D"/>
    <w:rsid w:val="00C230AF"/>
    <w:rsid w:val="00C23B1A"/>
    <w:rsid w:val="00C30E1C"/>
    <w:rsid w:val="00C32CDA"/>
    <w:rsid w:val="00C33315"/>
    <w:rsid w:val="00C34674"/>
    <w:rsid w:val="00C3483A"/>
    <w:rsid w:val="00C45263"/>
    <w:rsid w:val="00C46AB4"/>
    <w:rsid w:val="00C55195"/>
    <w:rsid w:val="00C6514A"/>
    <w:rsid w:val="00C7071A"/>
    <w:rsid w:val="00C73A60"/>
    <w:rsid w:val="00C74282"/>
    <w:rsid w:val="00C74E9D"/>
    <w:rsid w:val="00C837F6"/>
    <w:rsid w:val="00C92B7D"/>
    <w:rsid w:val="00C92E2B"/>
    <w:rsid w:val="00C94E59"/>
    <w:rsid w:val="00C97CB8"/>
    <w:rsid w:val="00CA23B8"/>
    <w:rsid w:val="00CA4CD7"/>
    <w:rsid w:val="00CB12FE"/>
    <w:rsid w:val="00CB3229"/>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065B"/>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31E4"/>
    <w:rsid w:val="00E14905"/>
    <w:rsid w:val="00E176C6"/>
    <w:rsid w:val="00E3356F"/>
    <w:rsid w:val="00E33964"/>
    <w:rsid w:val="00E3462F"/>
    <w:rsid w:val="00E36231"/>
    <w:rsid w:val="00E500F1"/>
    <w:rsid w:val="00E5358E"/>
    <w:rsid w:val="00E5665F"/>
    <w:rsid w:val="00E60357"/>
    <w:rsid w:val="00E614B9"/>
    <w:rsid w:val="00E61B4C"/>
    <w:rsid w:val="00E71D4E"/>
    <w:rsid w:val="00E72FBE"/>
    <w:rsid w:val="00E757F4"/>
    <w:rsid w:val="00E9303D"/>
    <w:rsid w:val="00EA2A3A"/>
    <w:rsid w:val="00EA2FA3"/>
    <w:rsid w:val="00EA77B0"/>
    <w:rsid w:val="00EB223A"/>
    <w:rsid w:val="00EC47CE"/>
    <w:rsid w:val="00ED4871"/>
    <w:rsid w:val="00EE42B4"/>
    <w:rsid w:val="00EE663F"/>
    <w:rsid w:val="00EF0E4A"/>
    <w:rsid w:val="00EF1484"/>
    <w:rsid w:val="00EF3301"/>
    <w:rsid w:val="00EF6923"/>
    <w:rsid w:val="00F035BD"/>
    <w:rsid w:val="00F065D3"/>
    <w:rsid w:val="00F07446"/>
    <w:rsid w:val="00F10A8B"/>
    <w:rsid w:val="00F10FAC"/>
    <w:rsid w:val="00F16F4D"/>
    <w:rsid w:val="00F178BC"/>
    <w:rsid w:val="00F21DD7"/>
    <w:rsid w:val="00F24361"/>
    <w:rsid w:val="00F25311"/>
    <w:rsid w:val="00F30AAF"/>
    <w:rsid w:val="00F310E4"/>
    <w:rsid w:val="00F3401C"/>
    <w:rsid w:val="00F348D3"/>
    <w:rsid w:val="00F34925"/>
    <w:rsid w:val="00F34BF1"/>
    <w:rsid w:val="00F3642A"/>
    <w:rsid w:val="00F432E0"/>
    <w:rsid w:val="00F44E35"/>
    <w:rsid w:val="00F44EB1"/>
    <w:rsid w:val="00F509CF"/>
    <w:rsid w:val="00F51775"/>
    <w:rsid w:val="00F54582"/>
    <w:rsid w:val="00F61884"/>
    <w:rsid w:val="00F627EF"/>
    <w:rsid w:val="00F669CB"/>
    <w:rsid w:val="00F66E0E"/>
    <w:rsid w:val="00F721C4"/>
    <w:rsid w:val="00F7296A"/>
    <w:rsid w:val="00F831B9"/>
    <w:rsid w:val="00F86999"/>
    <w:rsid w:val="00FA1013"/>
    <w:rsid w:val="00FA7E14"/>
    <w:rsid w:val="00FB0E0B"/>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oNotEmbedSmartTags/>
  <w:decimalSymbol w:val="."/>
  <w:listSeparator w:val=","/>
  <w15:docId w15:val="{82053ECA-DCD4-4BED-A439-3644E3E3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10A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549B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0A8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82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05-14.docx" TargetMode="External"/><Relationship Id="rId13" Type="http://schemas.openxmlformats.org/officeDocument/2006/relationships/hyperlink" Target="file:///H:\HJ%20Archive\2014\03-20-14.docx" TargetMode="External"/><Relationship Id="rId18" Type="http://schemas.openxmlformats.org/officeDocument/2006/relationships/hyperlink" Target="file:///H:\HJ%20Archive\2014\05-27-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1033_20140305.docx" TargetMode="External"/><Relationship Id="rId7" Type="http://schemas.openxmlformats.org/officeDocument/2006/relationships/hyperlink" Target="file:///H:\SJ%20Archive\2014\02-19-14.docx" TargetMode="External"/><Relationship Id="rId12" Type="http://schemas.openxmlformats.org/officeDocument/2006/relationships/hyperlink" Target="file:///H:\SJ%20Archive\2014\03-19-14.docx" TargetMode="External"/><Relationship Id="rId17" Type="http://schemas.openxmlformats.org/officeDocument/2006/relationships/hyperlink" Target="file:///H:\HJ%20Archive\2014\05-27-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22-14.docx" TargetMode="External"/><Relationship Id="rId20" Type="http://schemas.openxmlformats.org/officeDocument/2006/relationships/hyperlink" Target="file:///p:\pprever\2013-14\1033_20140219.docx" TargetMode="External"/><Relationship Id="rId1" Type="http://schemas.openxmlformats.org/officeDocument/2006/relationships/styles" Target="styles.xml"/><Relationship Id="rId6" Type="http://schemas.openxmlformats.org/officeDocument/2006/relationships/hyperlink" Target="file:///H:\SJ%20Archive\2014\02-19-14.docx" TargetMode="External"/><Relationship Id="rId11" Type="http://schemas.openxmlformats.org/officeDocument/2006/relationships/hyperlink" Target="file:///H:\SJ%20Archive\2014\03-13-14.docx" TargetMode="External"/><Relationship Id="rId24" Type="http://schemas.openxmlformats.org/officeDocument/2006/relationships/hyperlink" Target="file:///p:\pprever\2013-14\1033_20140515.docx" TargetMode="External"/><Relationship Id="rId5" Type="http://schemas.openxmlformats.org/officeDocument/2006/relationships/endnotes" Target="endnotes.xml"/><Relationship Id="rId15" Type="http://schemas.openxmlformats.org/officeDocument/2006/relationships/hyperlink" Target="file:///H:\HJ%20Archive\2014\05-15-14.docx" TargetMode="External"/><Relationship Id="rId23" Type="http://schemas.openxmlformats.org/officeDocument/2006/relationships/hyperlink" Target="file:///p:\pprever\2013-14\1033_20140313.docx" TargetMode="External"/><Relationship Id="rId28" Type="http://schemas.openxmlformats.org/officeDocument/2006/relationships/theme" Target="theme/theme1.xml"/><Relationship Id="rId10" Type="http://schemas.openxmlformats.org/officeDocument/2006/relationships/hyperlink" Target="file:///H:\SJ%20Archive\2014\03-13-14.docx" TargetMode="External"/><Relationship Id="rId19" Type="http://schemas.openxmlformats.org/officeDocument/2006/relationships/hyperlink" Target="file:///H:\HJ%20Archive\2014\05-28-14.docx" TargetMode="External"/><Relationship Id="rId4" Type="http://schemas.openxmlformats.org/officeDocument/2006/relationships/footnotes" Target="footnotes.xml"/><Relationship Id="rId9" Type="http://schemas.openxmlformats.org/officeDocument/2006/relationships/hyperlink" Target="file:///H:\SJ%20Archive\2014\03-13-14.docx" TargetMode="External"/><Relationship Id="rId14" Type="http://schemas.openxmlformats.org/officeDocument/2006/relationships/hyperlink" Target="file:///H:\HJ%20Archive\2014\03-20-14.docx" TargetMode="External"/><Relationship Id="rId22" Type="http://schemas.openxmlformats.org/officeDocument/2006/relationships/hyperlink" Target="file:///p:\pprever\2013-14\1033_2014030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1033: Out-of-state businesses - South Carolina Legislature Online</dc:title>
  <dc:subject/>
  <dc:creator>%USERNAME%</dc:creator>
  <cp:keywords/>
  <dc:description/>
  <cp:lastModifiedBy>N Cumfer</cp:lastModifiedBy>
  <cp:revision>5</cp:revision>
  <cp:lastPrinted>2014-05-28T19:06:00Z</cp:lastPrinted>
  <dcterms:created xsi:type="dcterms:W3CDTF">2014-07-24T19:40:00Z</dcterms:created>
  <dcterms:modified xsi:type="dcterms:W3CDTF">2014-12-04T21:58:00Z</dcterms:modified>
</cp:coreProperties>
</file>