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9B3" w:rsidRDefault="00E159B3" w:rsidP="00E159B3">
      <w:pPr>
        <w:widowControl w:val="0"/>
        <w:jc w:val="center"/>
      </w:pPr>
      <w:r w:rsidRPr="00E159B3">
        <w:rPr>
          <w:b/>
        </w:rPr>
        <w:t>South Carolina General Assembly</w:t>
      </w:r>
    </w:p>
    <w:p w:rsidR="00E159B3" w:rsidRDefault="00E159B3" w:rsidP="00E159B3">
      <w:pPr>
        <w:widowControl w:val="0"/>
        <w:jc w:val="center"/>
      </w:pPr>
      <w:r>
        <w:t>120th Session, 2013-2014</w:t>
      </w:r>
    </w:p>
    <w:p w:rsidR="00E159B3" w:rsidRDefault="00E159B3" w:rsidP="00E159B3">
      <w:pPr>
        <w:widowControl w:val="0"/>
        <w:jc w:val="left"/>
      </w:pPr>
    </w:p>
    <w:p w:rsidR="00E159B3" w:rsidRDefault="00E159B3" w:rsidP="00E159B3">
      <w:pPr>
        <w:widowControl w:val="0"/>
        <w:jc w:val="left"/>
        <w:rPr>
          <w:b/>
        </w:rPr>
      </w:pPr>
      <w:r w:rsidRPr="00E159B3">
        <w:rPr>
          <w:b/>
        </w:rPr>
        <w:t>H. 3994</w:t>
      </w:r>
    </w:p>
    <w:p w:rsidR="00E159B3" w:rsidRDefault="00E159B3" w:rsidP="00E159B3">
      <w:pPr>
        <w:widowControl w:val="0"/>
        <w:jc w:val="left"/>
        <w:rPr>
          <w:b/>
        </w:rPr>
      </w:pPr>
    </w:p>
    <w:p w:rsidR="00E159B3" w:rsidRDefault="00E159B3" w:rsidP="00E159B3">
      <w:pPr>
        <w:widowControl w:val="0"/>
        <w:jc w:val="left"/>
      </w:pPr>
      <w:r w:rsidRPr="00E159B3">
        <w:rPr>
          <w:b/>
        </w:rPr>
        <w:t>STATUS INFORMATION</w:t>
      </w:r>
    </w:p>
    <w:p w:rsidR="00E159B3" w:rsidRDefault="00E159B3" w:rsidP="00E159B3">
      <w:pPr>
        <w:widowControl w:val="0"/>
        <w:jc w:val="left"/>
      </w:pPr>
    </w:p>
    <w:p w:rsidR="00E159B3" w:rsidRDefault="00E159B3" w:rsidP="00E159B3">
      <w:pPr>
        <w:widowControl w:val="0"/>
        <w:jc w:val="left"/>
      </w:pPr>
      <w:r>
        <w:t>General Bill</w:t>
      </w:r>
    </w:p>
    <w:p w:rsidR="00E159B3" w:rsidRDefault="00E159B3" w:rsidP="00E159B3">
      <w:pPr>
        <w:widowControl w:val="0"/>
        <w:jc w:val="left"/>
      </w:pPr>
      <w:r>
        <w:t>Sponsors: Reps. Patrick, Owens and Rivers</w:t>
      </w:r>
    </w:p>
    <w:p w:rsidR="00E159B3" w:rsidRDefault="00E159B3" w:rsidP="00E159B3">
      <w:pPr>
        <w:widowControl w:val="0"/>
        <w:jc w:val="left"/>
      </w:pPr>
      <w:r>
        <w:t>Document Path: l:\council\bills\agm\19975ab13.docx</w:t>
      </w:r>
    </w:p>
    <w:p w:rsidR="004F1BEA" w:rsidRDefault="004F1BEA" w:rsidP="00E159B3">
      <w:pPr>
        <w:widowControl w:val="0"/>
        <w:jc w:val="left"/>
      </w:pPr>
      <w:r>
        <w:t>Companion/Similar bill(s): 516, 3926</w:t>
      </w:r>
    </w:p>
    <w:p w:rsidR="00E159B3" w:rsidRDefault="00E159B3" w:rsidP="00E159B3">
      <w:pPr>
        <w:widowControl w:val="0"/>
        <w:jc w:val="left"/>
      </w:pPr>
    </w:p>
    <w:p w:rsidR="008A193E" w:rsidRDefault="008A193E" w:rsidP="00E159B3">
      <w:pPr>
        <w:widowControl w:val="0"/>
        <w:jc w:val="left"/>
      </w:pPr>
      <w:r>
        <w:t>Introduced in the House on April 18, 2013</w:t>
      </w:r>
    </w:p>
    <w:p w:rsidR="008A193E" w:rsidRDefault="008A193E" w:rsidP="00E159B3">
      <w:pPr>
        <w:widowControl w:val="0"/>
        <w:jc w:val="left"/>
      </w:pPr>
      <w:r>
        <w:t>Introduced in the Senate on April 15, 2014</w:t>
      </w:r>
    </w:p>
    <w:p w:rsidR="008A193E" w:rsidRDefault="008A193E" w:rsidP="00E159B3">
      <w:pPr>
        <w:widowControl w:val="0"/>
        <w:jc w:val="left"/>
      </w:pPr>
      <w:r>
        <w:t>Last Amended on April 10, 2014</w:t>
      </w:r>
    </w:p>
    <w:p w:rsidR="008A193E" w:rsidRPr="008A193E" w:rsidRDefault="008A193E" w:rsidP="00E159B3">
      <w:pPr>
        <w:widowControl w:val="0"/>
        <w:jc w:val="left"/>
      </w:pPr>
      <w:r>
        <w:t xml:space="preserve">Currently residing in the Senate Committee on </w:t>
      </w:r>
      <w:r w:rsidRPr="008A193E">
        <w:rPr>
          <w:b/>
        </w:rPr>
        <w:t>Education</w:t>
      </w:r>
    </w:p>
    <w:p w:rsidR="008A193E" w:rsidRDefault="008A193E" w:rsidP="00E159B3">
      <w:pPr>
        <w:widowControl w:val="0"/>
        <w:jc w:val="left"/>
      </w:pPr>
    </w:p>
    <w:p w:rsidR="00E159B3" w:rsidRDefault="00E159B3" w:rsidP="00E159B3">
      <w:pPr>
        <w:widowControl w:val="0"/>
        <w:jc w:val="left"/>
      </w:pPr>
      <w:r>
        <w:t xml:space="preserve">Summary: </w:t>
      </w:r>
      <w:r w:rsidR="00E737AB">
        <w:t>Read To Succeed Act</w:t>
      </w:r>
    </w:p>
    <w:p w:rsidR="00E159B3" w:rsidRDefault="00E159B3" w:rsidP="00E159B3">
      <w:pPr>
        <w:widowControl w:val="0"/>
        <w:jc w:val="left"/>
      </w:pPr>
    </w:p>
    <w:p w:rsidR="00E159B3" w:rsidRDefault="00E159B3" w:rsidP="00E159B3">
      <w:pPr>
        <w:widowControl w:val="0"/>
        <w:jc w:val="left"/>
      </w:pPr>
    </w:p>
    <w:p w:rsidR="00E159B3" w:rsidRDefault="00E159B3" w:rsidP="00E159B3">
      <w:pPr>
        <w:widowControl w:val="0"/>
        <w:tabs>
          <w:tab w:val="center" w:pos="590"/>
          <w:tab w:val="center" w:pos="1440"/>
          <w:tab w:val="left" w:pos="1872"/>
          <w:tab w:val="left" w:pos="9187"/>
        </w:tabs>
        <w:jc w:val="left"/>
      </w:pPr>
      <w:r w:rsidRPr="00E159B3">
        <w:rPr>
          <w:b/>
        </w:rPr>
        <w:t>HISTORY OF LEGISLATIVE ACTIONS</w:t>
      </w:r>
    </w:p>
    <w:p w:rsidR="00E159B3" w:rsidRDefault="00E159B3" w:rsidP="00E159B3">
      <w:pPr>
        <w:widowControl w:val="0"/>
        <w:tabs>
          <w:tab w:val="center" w:pos="590"/>
          <w:tab w:val="center" w:pos="1440"/>
          <w:tab w:val="left" w:pos="1872"/>
          <w:tab w:val="left" w:pos="9187"/>
        </w:tabs>
        <w:jc w:val="left"/>
      </w:pPr>
    </w:p>
    <w:p w:rsidR="00E159B3" w:rsidRPr="00E159B3" w:rsidRDefault="00E159B3" w:rsidP="00E159B3">
      <w:pPr>
        <w:widowControl w:val="0"/>
        <w:tabs>
          <w:tab w:val="center" w:pos="590"/>
          <w:tab w:val="center" w:pos="1440"/>
          <w:tab w:val="left" w:pos="1872"/>
          <w:tab w:val="left" w:pos="9187"/>
        </w:tabs>
        <w:jc w:val="left"/>
      </w:pPr>
      <w:r w:rsidRPr="00E159B3">
        <w:rPr>
          <w:u w:val="single"/>
        </w:rPr>
        <w:tab/>
        <w:t>Date</w:t>
      </w:r>
      <w:r w:rsidRPr="00E159B3">
        <w:rPr>
          <w:u w:val="single"/>
        </w:rPr>
        <w:tab/>
        <w:t>Body</w:t>
      </w:r>
      <w:r w:rsidRPr="00E159B3">
        <w:rPr>
          <w:u w:val="single"/>
        </w:rPr>
        <w:tab/>
        <w:t>Action Description with journal page number</w:t>
      </w:r>
      <w:r w:rsidRPr="00E159B3">
        <w:rPr>
          <w:u w:val="single"/>
        </w:rPr>
        <w:tab/>
      </w:r>
      <w:bookmarkStart w:id="0" w:name="_GoBack"/>
      <w:bookmarkEnd w:id="0"/>
    </w:p>
    <w:p w:rsidR="006A14AC" w:rsidRDefault="006A14AC" w:rsidP="006A14AC">
      <w:pPr>
        <w:widowControl w:val="0"/>
        <w:tabs>
          <w:tab w:val="right" w:pos="1008"/>
          <w:tab w:val="left" w:pos="1152"/>
          <w:tab w:val="left" w:pos="1872"/>
          <w:tab w:val="left" w:pos="9187"/>
        </w:tabs>
        <w:ind w:left="2088" w:hanging="2088"/>
        <w:jc w:val="left"/>
      </w:pPr>
      <w:r>
        <w:tab/>
        <w:t>4/18/2013</w:t>
      </w:r>
      <w:r>
        <w:tab/>
        <w:t>House</w:t>
      </w:r>
      <w:r>
        <w:tab/>
      </w:r>
      <w:r w:rsidRPr="007C6F88">
        <w:t>Introduced and read first time (</w:t>
      </w:r>
      <w:hyperlink r:id="rId7" w:history="1">
        <w:r w:rsidRPr="007C6F88">
          <w:rPr>
            <w:rStyle w:val="Hyperlink"/>
          </w:rPr>
          <w:t>House Journal</w:t>
        </w:r>
        <w:r w:rsidRPr="007C6F88">
          <w:rPr>
            <w:rStyle w:val="Hyperlink"/>
          </w:rPr>
          <w:noBreakHyphen/>
          <w:t>page 108</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4/18/2013</w:t>
      </w:r>
      <w:r>
        <w:tab/>
        <w:t>House</w:t>
      </w:r>
      <w:r>
        <w:tab/>
      </w:r>
      <w:r w:rsidRPr="007C6F88">
        <w:t>Referred to Co</w:t>
      </w:r>
      <w:r>
        <w:t xml:space="preserve">mmittee on </w:t>
      </w:r>
      <w:r w:rsidRPr="007C6F88">
        <w:rPr>
          <w:b/>
        </w:rPr>
        <w:t>Education and Public Works</w:t>
      </w:r>
      <w:r w:rsidRPr="007C6F88">
        <w:t xml:space="preserve"> (</w:t>
      </w:r>
      <w:hyperlink r:id="rId8" w:history="1">
        <w:r w:rsidRPr="007C6F88">
          <w:rPr>
            <w:rStyle w:val="Hyperlink"/>
          </w:rPr>
          <w:t>House Journal</w:t>
        </w:r>
        <w:r w:rsidRPr="007C6F88">
          <w:rPr>
            <w:rStyle w:val="Hyperlink"/>
          </w:rPr>
          <w:noBreakHyphen/>
          <w:t>page 108</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3/25/2014</w:t>
      </w:r>
      <w:r>
        <w:tab/>
        <w:t>House</w:t>
      </w:r>
      <w:r>
        <w:tab/>
      </w:r>
      <w:r w:rsidRPr="007C6F88">
        <w:t>Committee r</w:t>
      </w:r>
      <w:r>
        <w:t xml:space="preserve">eport: Favorable with amendment </w:t>
      </w:r>
      <w:r w:rsidRPr="007C6F88">
        <w:rPr>
          <w:b/>
        </w:rPr>
        <w:t>Education and Public Works</w:t>
      </w:r>
      <w:r w:rsidRPr="007C6F88">
        <w:t xml:space="preserve"> (</w:t>
      </w:r>
      <w:hyperlink r:id="rId9" w:history="1">
        <w:r w:rsidRPr="007C6F88">
          <w:rPr>
            <w:rStyle w:val="Hyperlink"/>
          </w:rPr>
          <w:t>House Journal</w:t>
        </w:r>
        <w:r w:rsidRPr="007C6F88">
          <w:rPr>
            <w:rStyle w:val="Hyperlink"/>
          </w:rPr>
          <w:noBreakHyphen/>
          <w:t>page 9</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3/26/2014</w:t>
      </w:r>
      <w:r>
        <w:tab/>
      </w:r>
      <w:r>
        <w:tab/>
      </w:r>
      <w:r w:rsidRPr="007C6F88">
        <w:t>Scrivener's error corrected</w:t>
      </w:r>
    </w:p>
    <w:p w:rsidR="006A14AC" w:rsidRDefault="006A14AC" w:rsidP="006A14AC">
      <w:pPr>
        <w:widowControl w:val="0"/>
        <w:tabs>
          <w:tab w:val="right" w:pos="1008"/>
          <w:tab w:val="left" w:pos="1152"/>
          <w:tab w:val="left" w:pos="1872"/>
          <w:tab w:val="left" w:pos="9187"/>
        </w:tabs>
        <w:ind w:left="2088" w:hanging="2088"/>
        <w:jc w:val="left"/>
      </w:pPr>
      <w:r>
        <w:tab/>
        <w:t>3/27/2014</w:t>
      </w:r>
      <w:r>
        <w:tab/>
        <w:t>House</w:t>
      </w:r>
      <w:r>
        <w:tab/>
      </w:r>
      <w:r w:rsidRPr="007C6F88">
        <w:t>Deba</w:t>
      </w:r>
      <w:r>
        <w:t>te adjourned until Wed., 4</w:t>
      </w:r>
      <w:r>
        <w:noBreakHyphen/>
        <w:t>2</w:t>
      </w:r>
      <w:r>
        <w:noBreakHyphen/>
        <w:t xml:space="preserve">14 </w:t>
      </w:r>
      <w:r w:rsidRPr="007C6F88">
        <w:t>(</w:t>
      </w:r>
      <w:hyperlink r:id="rId10" w:history="1">
        <w:r w:rsidRPr="007C6F88">
          <w:rPr>
            <w:rStyle w:val="Hyperlink"/>
          </w:rPr>
          <w:t>House Journal</w:t>
        </w:r>
        <w:r w:rsidRPr="007C6F88">
          <w:rPr>
            <w:rStyle w:val="Hyperlink"/>
          </w:rPr>
          <w:noBreakHyphen/>
          <w:t>page 21</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4/2/2014</w:t>
      </w:r>
      <w:r>
        <w:tab/>
        <w:t>House</w:t>
      </w:r>
      <w:r>
        <w:tab/>
      </w:r>
      <w:r w:rsidRPr="007C6F88">
        <w:t>Requests for deb</w:t>
      </w:r>
      <w:r>
        <w:t>ate</w:t>
      </w:r>
      <w:r>
        <w:noBreakHyphen/>
        <w:t xml:space="preserve">Rep(s). Je Smith, Southard, </w:t>
      </w:r>
      <w:r w:rsidRPr="007C6F88">
        <w:t>Jefferson, Willi</w:t>
      </w:r>
      <w:r>
        <w:t xml:space="preserve">ams, King, Ott, Putnam, Thayer, </w:t>
      </w:r>
      <w:r w:rsidRPr="007C6F88">
        <w:t>Whitmire, Sandife</w:t>
      </w:r>
      <w:r>
        <w:t xml:space="preserve">r, White, Govan, Neal, Patrick, </w:t>
      </w:r>
      <w:r w:rsidRPr="007C6F88">
        <w:t>Knight, Cobb</w:t>
      </w:r>
      <w:r>
        <w:noBreakHyphen/>
        <w:t xml:space="preserve">Hunter, Douglas, Hiott, Hosey, </w:t>
      </w:r>
      <w:r w:rsidRPr="007C6F88">
        <w:t>Clyburn, A</w:t>
      </w:r>
      <w:r>
        <w:t xml:space="preserve">nderson, Wood, Gilliard, Owens, </w:t>
      </w:r>
      <w:r w:rsidRPr="007C6F88">
        <w:t>Taylor, JR Smi</w:t>
      </w:r>
      <w:r>
        <w:t>th, Robbinson</w:t>
      </w:r>
      <w:r>
        <w:noBreakHyphen/>
        <w:t xml:space="preserve">Simpson,Dilliard, </w:t>
      </w:r>
      <w:r w:rsidRPr="007C6F88">
        <w:t>Huggins, Ball</w:t>
      </w:r>
      <w:r>
        <w:t xml:space="preserve">entine, Hixon, Norrell, Anthony </w:t>
      </w:r>
      <w:r w:rsidRPr="007C6F88">
        <w:t>(</w:t>
      </w:r>
      <w:hyperlink r:id="rId11" w:history="1">
        <w:r w:rsidRPr="007C6F88">
          <w:rPr>
            <w:rStyle w:val="Hyperlink"/>
          </w:rPr>
          <w:t>House Journal</w:t>
        </w:r>
        <w:r w:rsidRPr="007C6F88">
          <w:rPr>
            <w:rStyle w:val="Hyperlink"/>
          </w:rPr>
          <w:noBreakHyphen/>
          <w:t>page 167</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4/10/2014</w:t>
      </w:r>
      <w:r>
        <w:tab/>
        <w:t>House</w:t>
      </w:r>
      <w:r>
        <w:tab/>
      </w:r>
      <w:r w:rsidRPr="007C6F88">
        <w:t>Amended (</w:t>
      </w:r>
      <w:hyperlink r:id="rId12" w:history="1">
        <w:r w:rsidRPr="007C6F88">
          <w:rPr>
            <w:rStyle w:val="Hyperlink"/>
          </w:rPr>
          <w:t>House Journal</w:t>
        </w:r>
        <w:r w:rsidRPr="007C6F88">
          <w:rPr>
            <w:rStyle w:val="Hyperlink"/>
          </w:rPr>
          <w:noBreakHyphen/>
          <w:t>page 123</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4/10/2014</w:t>
      </w:r>
      <w:r>
        <w:tab/>
        <w:t>House</w:t>
      </w:r>
      <w:r>
        <w:tab/>
      </w:r>
      <w:r w:rsidRPr="007C6F88">
        <w:t>Read second time (</w:t>
      </w:r>
      <w:hyperlink r:id="rId13" w:history="1">
        <w:r w:rsidRPr="007C6F88">
          <w:rPr>
            <w:rStyle w:val="Hyperlink"/>
          </w:rPr>
          <w:t>House Journal</w:t>
        </w:r>
        <w:r w:rsidRPr="007C6F88">
          <w:rPr>
            <w:rStyle w:val="Hyperlink"/>
          </w:rPr>
          <w:noBreakHyphen/>
          <w:t>page 123</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4/10/2014</w:t>
      </w:r>
      <w:r>
        <w:tab/>
        <w:t>House</w:t>
      </w:r>
      <w:r>
        <w:tab/>
      </w:r>
      <w:r w:rsidRPr="007C6F88">
        <w:t>Roll call Yeas</w:t>
      </w:r>
      <w:r>
        <w:noBreakHyphen/>
      </w:r>
      <w:r w:rsidRPr="007C6F88">
        <w:t>95  Nays</w:t>
      </w:r>
      <w:r>
        <w:noBreakHyphen/>
      </w:r>
      <w:r w:rsidRPr="007C6F88">
        <w:t>1 (</w:t>
      </w:r>
      <w:hyperlink r:id="rId14" w:history="1">
        <w:r w:rsidRPr="007C6F88">
          <w:rPr>
            <w:rStyle w:val="Hyperlink"/>
          </w:rPr>
          <w:t>House Journal</w:t>
        </w:r>
        <w:r w:rsidRPr="007C6F88">
          <w:rPr>
            <w:rStyle w:val="Hyperlink"/>
          </w:rPr>
          <w:noBreakHyphen/>
          <w:t>page 139</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4/10/2014</w:t>
      </w:r>
      <w:r>
        <w:tab/>
        <w:t>House</w:t>
      </w:r>
      <w:r>
        <w:tab/>
      </w:r>
      <w:r w:rsidRPr="007C6F88">
        <w:t>Unanimous co</w:t>
      </w:r>
      <w:r>
        <w:t xml:space="preserve">nsent for third reading on next </w:t>
      </w:r>
      <w:r w:rsidRPr="007C6F88">
        <w:t>legislative day (</w:t>
      </w:r>
      <w:hyperlink r:id="rId15" w:history="1">
        <w:r w:rsidRPr="007C6F88">
          <w:rPr>
            <w:rStyle w:val="Hyperlink"/>
          </w:rPr>
          <w:t>House Journal</w:t>
        </w:r>
        <w:r w:rsidRPr="007C6F88">
          <w:rPr>
            <w:rStyle w:val="Hyperlink"/>
          </w:rPr>
          <w:noBreakHyphen/>
          <w:t>page 145</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4/11/2014</w:t>
      </w:r>
      <w:r>
        <w:tab/>
        <w:t>House</w:t>
      </w:r>
      <w:r>
        <w:tab/>
      </w:r>
      <w:r w:rsidRPr="007C6F88">
        <w:t>Read third time</w:t>
      </w:r>
      <w:r>
        <w:t xml:space="preserve"> and sent to Senate </w:t>
      </w:r>
      <w:r w:rsidRPr="007C6F88">
        <w:t>(</w:t>
      </w:r>
      <w:hyperlink r:id="rId16" w:history="1">
        <w:r w:rsidRPr="007C6F88">
          <w:rPr>
            <w:rStyle w:val="Hyperlink"/>
          </w:rPr>
          <w:t>House Journal</w:t>
        </w:r>
        <w:r w:rsidRPr="007C6F88">
          <w:rPr>
            <w:rStyle w:val="Hyperlink"/>
          </w:rPr>
          <w:noBreakHyphen/>
          <w:t>page 7</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4/15/2014</w:t>
      </w:r>
      <w:r>
        <w:tab/>
        <w:t>Senate</w:t>
      </w:r>
      <w:r>
        <w:tab/>
      </w:r>
      <w:r w:rsidRPr="007C6F88">
        <w:t>Introduced and read first time (</w:t>
      </w:r>
      <w:hyperlink r:id="rId17" w:history="1">
        <w:r w:rsidRPr="007C6F88">
          <w:rPr>
            <w:rStyle w:val="Hyperlink"/>
          </w:rPr>
          <w:t>Senate Journal</w:t>
        </w:r>
        <w:r w:rsidRPr="007C6F88">
          <w:rPr>
            <w:rStyle w:val="Hyperlink"/>
          </w:rPr>
          <w:noBreakHyphen/>
          <w:t>page 11</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r>
        <w:tab/>
        <w:t>4/15/2014</w:t>
      </w:r>
      <w:r>
        <w:tab/>
        <w:t>Senate</w:t>
      </w:r>
      <w:r>
        <w:tab/>
      </w:r>
      <w:r w:rsidRPr="007C6F88">
        <w:t>Ref</w:t>
      </w:r>
      <w:r>
        <w:t xml:space="preserve">erred to Committee on </w:t>
      </w:r>
      <w:r w:rsidRPr="007C6F88">
        <w:rPr>
          <w:b/>
        </w:rPr>
        <w:t>Education</w:t>
      </w:r>
      <w:r>
        <w:t xml:space="preserve"> </w:t>
      </w:r>
      <w:r w:rsidRPr="007C6F88">
        <w:t>(</w:t>
      </w:r>
      <w:hyperlink r:id="rId18" w:history="1">
        <w:r w:rsidRPr="007C6F88">
          <w:rPr>
            <w:rStyle w:val="Hyperlink"/>
          </w:rPr>
          <w:t>Senate Journal</w:t>
        </w:r>
        <w:r w:rsidRPr="007C6F88">
          <w:rPr>
            <w:rStyle w:val="Hyperlink"/>
          </w:rPr>
          <w:noBreakHyphen/>
          <w:t>page 11</w:t>
        </w:r>
      </w:hyperlink>
      <w:r w:rsidRPr="007C6F88">
        <w:t>)</w:t>
      </w:r>
    </w:p>
    <w:p w:rsidR="006A14AC" w:rsidRDefault="006A14AC" w:rsidP="006A14AC">
      <w:pPr>
        <w:widowControl w:val="0"/>
        <w:tabs>
          <w:tab w:val="right" w:pos="1008"/>
          <w:tab w:val="left" w:pos="1152"/>
          <w:tab w:val="left" w:pos="1872"/>
          <w:tab w:val="left" w:pos="9187"/>
        </w:tabs>
        <w:ind w:left="2088" w:hanging="2088"/>
        <w:jc w:val="left"/>
      </w:pPr>
    </w:p>
    <w:p w:rsidR="00E159B3" w:rsidRPr="00E159B3" w:rsidRDefault="00E159B3" w:rsidP="00E159B3">
      <w:pPr>
        <w:widowControl w:val="0"/>
        <w:tabs>
          <w:tab w:val="right" w:pos="1008"/>
          <w:tab w:val="left" w:pos="1152"/>
          <w:tab w:val="left" w:pos="1872"/>
          <w:tab w:val="left" w:pos="9187"/>
        </w:tabs>
        <w:ind w:left="2088" w:hanging="2088"/>
        <w:jc w:val="left"/>
      </w:pPr>
    </w:p>
    <w:p w:rsidR="00E159B3" w:rsidRDefault="00E159B3" w:rsidP="00E159B3">
      <w:pPr>
        <w:widowControl w:val="0"/>
        <w:jc w:val="left"/>
      </w:pPr>
      <w:r w:rsidRPr="00E159B3">
        <w:rPr>
          <w:b/>
        </w:rPr>
        <w:t>VERSIONS OF THIS BILL</w:t>
      </w:r>
    </w:p>
    <w:p w:rsidR="00E159B3" w:rsidRDefault="00E159B3" w:rsidP="00E159B3">
      <w:pPr>
        <w:widowControl w:val="0"/>
        <w:jc w:val="left"/>
      </w:pPr>
    </w:p>
    <w:p w:rsidR="00E159B3" w:rsidRDefault="00555624" w:rsidP="00E159B3">
      <w:pPr>
        <w:widowControl w:val="0"/>
        <w:jc w:val="left"/>
      </w:pPr>
      <w:hyperlink r:id="rId19" w:history="1">
        <w:r w:rsidR="00E159B3">
          <w:rPr>
            <w:rStyle w:val="Hyperlink"/>
          </w:rPr>
          <w:t>4/18/2013</w:t>
        </w:r>
      </w:hyperlink>
    </w:p>
    <w:p w:rsidR="005D3251" w:rsidRDefault="00555624" w:rsidP="00E159B3">
      <w:hyperlink r:id="rId20" w:history="1">
        <w:r w:rsidR="005D3251" w:rsidRPr="005D3251">
          <w:rPr>
            <w:rStyle w:val="Hyperlink"/>
          </w:rPr>
          <w:t>3/25/2014</w:t>
        </w:r>
      </w:hyperlink>
    </w:p>
    <w:p w:rsidR="00EC68E9" w:rsidRDefault="00555624" w:rsidP="00E159B3">
      <w:hyperlink r:id="rId21" w:history="1">
        <w:r w:rsidR="00EC68E9" w:rsidRPr="00EC68E9">
          <w:rPr>
            <w:rStyle w:val="Hyperlink"/>
          </w:rPr>
          <w:t>3/26/2014</w:t>
        </w:r>
      </w:hyperlink>
    </w:p>
    <w:p w:rsidR="00E07D7F" w:rsidRDefault="00555624" w:rsidP="00E159B3">
      <w:hyperlink r:id="rId22" w:history="1">
        <w:r w:rsidR="00E07D7F" w:rsidRPr="00E07D7F">
          <w:rPr>
            <w:rStyle w:val="Hyperlink"/>
          </w:rPr>
          <w:t>4/10/2014</w:t>
        </w:r>
      </w:hyperlink>
    </w:p>
    <w:p w:rsidR="00E159B3" w:rsidRDefault="00E159B3" w:rsidP="00E159B3"/>
    <w:p w:rsidR="00E159B3" w:rsidRDefault="00E159B3" w:rsidP="00E159B3">
      <w:pPr>
        <w:sectPr w:rsidR="00E159B3" w:rsidSect="00E159B3">
          <w:pgSz w:w="12240" w:h="15840" w:code="1"/>
          <w:pgMar w:top="1080" w:right="1440" w:bottom="1080" w:left="1440" w:header="720" w:footer="720" w:gutter="0"/>
          <w:cols w:space="720"/>
          <w:noEndnote/>
          <w:docGrid w:linePitch="360"/>
        </w:sectPr>
      </w:pPr>
    </w:p>
    <w:p w:rsidR="00E07D7F" w:rsidRDefault="00E07D7F" w:rsidP="00427762">
      <w:pPr>
        <w:pStyle w:val="BillDots"/>
      </w:pPr>
      <w:r>
        <w:lastRenderedPageBreak/>
        <w:t>AMENDED</w:t>
      </w:r>
    </w:p>
    <w:p w:rsidR="00E07D7F" w:rsidRDefault="00E07D7F" w:rsidP="00427762">
      <w:pPr>
        <w:pStyle w:val="BillDots"/>
      </w:pPr>
      <w:r>
        <w:t>April 10, 2014</w:t>
      </w:r>
    </w:p>
    <w:p w:rsidR="00E07D7F" w:rsidRDefault="00E07D7F" w:rsidP="00427762">
      <w:pPr>
        <w:pStyle w:val="BillDots"/>
      </w:pPr>
    </w:p>
    <w:p w:rsidR="00E07D7F" w:rsidRPr="00732834" w:rsidRDefault="00E07D7F" w:rsidP="00732834">
      <w:pPr>
        <w:pStyle w:val="BillDots"/>
        <w:tabs>
          <w:tab w:val="clear" w:pos="216"/>
          <w:tab w:val="clear" w:pos="432"/>
          <w:tab w:val="clear" w:pos="648"/>
          <w:tab w:val="clear" w:pos="864"/>
          <w:tab w:val="clear" w:pos="1080"/>
          <w:tab w:val="clear" w:pos="1296"/>
          <w:tab w:val="clear" w:pos="5904"/>
          <w:tab w:val="right" w:pos="5933"/>
        </w:tabs>
      </w:pPr>
      <w:r>
        <w:tab/>
      </w:r>
      <w:r>
        <w:rPr>
          <w:b/>
          <w:sz w:val="36"/>
        </w:rPr>
        <w:t>H. 3994</w:t>
      </w:r>
    </w:p>
    <w:p w:rsidR="00E07D7F" w:rsidRDefault="00E07D7F" w:rsidP="00427762">
      <w:pPr>
        <w:pStyle w:val="BillDots"/>
      </w:pPr>
    </w:p>
    <w:p w:rsidR="00E07D7F" w:rsidRDefault="00E07D7F" w:rsidP="00732834">
      <w:pPr>
        <w:pStyle w:val="BillDots"/>
        <w:jc w:val="center"/>
      </w:pPr>
      <w:r>
        <w:t xml:space="preserve">Introduced by </w:t>
      </w:r>
      <w:r w:rsidRPr="00F86203">
        <w:t>Reps. Patrick, Owens and Rivers</w:t>
      </w:r>
    </w:p>
    <w:p w:rsidR="00E07D7F" w:rsidRDefault="00E07D7F" w:rsidP="00427762">
      <w:pPr>
        <w:pStyle w:val="BillDots"/>
      </w:pPr>
    </w:p>
    <w:p w:rsidR="00E07D7F" w:rsidRDefault="00E07D7F" w:rsidP="00427762">
      <w:pPr>
        <w:pStyle w:val="BillDots"/>
      </w:pPr>
      <w:r>
        <w:t>S. Printed 4/10/14--H.</w:t>
      </w:r>
    </w:p>
    <w:p w:rsidR="00E07D7F" w:rsidRDefault="00E07D7F" w:rsidP="00427762">
      <w:pPr>
        <w:pStyle w:val="BillDots"/>
      </w:pPr>
      <w:r>
        <w:t>Read the first time April 18, 2013.</w:t>
      </w:r>
    </w:p>
    <w:p w:rsidR="00E07D7F" w:rsidRPr="00732834" w:rsidRDefault="00E07D7F" w:rsidP="00732834">
      <w:pPr>
        <w:pStyle w:val="BillDots"/>
        <w:jc w:val="center"/>
      </w:pPr>
      <w:r>
        <w:rPr>
          <w:u w:val="single"/>
        </w:rPr>
        <w:t>            </w:t>
      </w:r>
    </w:p>
    <w:p w:rsidR="00E07D7F" w:rsidRDefault="00E07D7F" w:rsidP="00427762">
      <w:pPr>
        <w:pStyle w:val="BillDots"/>
      </w:pPr>
    </w:p>
    <w:p w:rsidR="00E07D7F" w:rsidRDefault="00E07D7F" w:rsidP="00427762">
      <w:pPr>
        <w:pStyle w:val="BillDots"/>
        <w:sectPr w:rsidR="00E07D7F" w:rsidSect="00E700F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E07D7F" w:rsidRDefault="00E07D7F" w:rsidP="00427762">
      <w:pPr>
        <w:pStyle w:val="BillDots"/>
      </w:pPr>
    </w:p>
    <w:p w:rsidR="00E07D7F" w:rsidRDefault="00E07D7F" w:rsidP="00427762">
      <w:pPr>
        <w:pStyle w:val="Numbersforbills"/>
      </w:pPr>
    </w:p>
    <w:p w:rsidR="00E07D7F" w:rsidRDefault="00E07D7F"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Pr="00325348" w:rsidRDefault="00E07D7F" w:rsidP="009A0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FE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READ TO SUCCEED ACT” BY ADDING CHAPTER 155 TO TITLE 59, TO ESTABLISH WITHIN THE DEPARTMENT OF EDUCATION THE SOUTH CAROLINA READ TO SUCCEED OFFICE TO IMPLEMENT A COMPREHENSIVE, SYSTEMIC APPROACH TO READING WITH SPECIFIC OBJECTIVES, TO PROVIDE OBLIGATIONS AND REQUIREMENTS OF THE PROGRAM, AND TO PROVIDE NECESSARY DEFINITIONS, AMONG OTHER THINGS.</w:t>
      </w: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national research has documented that students unable to comprehend </w:t>
      </w:r>
      <w:r>
        <w:t>grade-appropriate</w:t>
      </w:r>
      <w:r w:rsidRPr="0013454E">
        <w:t xml:space="preserve"> text struggle in all their courses; and</w:t>
      </w: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w:t>
      </w:r>
      <w:r>
        <w:t>and</w:t>
      </w: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lastRenderedPageBreak/>
        <w:t>Whereas, the South Carolina General Assembly finds that one recent longitudinal study documented that students reading below grade level at the end of third grade were six times more likely to leave school without a high school diploma; and</w:t>
      </w: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we find that all students must be given high quality instruction and engage in ample time actually reading and writing in order to learn to read, comprehend, write, speak, listen and use language effectively across all content areas; and</w:t>
      </w:r>
    </w:p>
    <w:p w:rsidR="00E07D7F" w:rsidRPr="0013454E"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D7F" w:rsidRDefault="00E07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SECTION</w:t>
      </w:r>
      <w:r w:rsidRPr="00600CFF">
        <w:tab/>
        <w:t>1.</w:t>
      </w:r>
      <w:r w:rsidRPr="00600CFF">
        <w:tab/>
        <w:t>Title 59 of the 1976 Code is amended by adding:</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“CHAPTER 155</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South Carolina Read to Succeed Act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110.</w:t>
      </w:r>
      <w:r w:rsidRPr="00600CFF">
        <w:tab/>
        <w:t>There is established within the Department of Education the South Carolina Read to Succeed Office to implement a comprehensive, systemic approach to reading which will ensure that: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classroom teachers, use evidence</w:t>
      </w:r>
      <w:r w:rsidRPr="00600CFF">
        <w:noBreakHyphen/>
        <w:t>based reading instruction in prekindergarten through grade twelve to include oral language, phonological awareness, phonics, fluency, vocabulary, and comprehension; administer and interpret valid and reliable assessments; analyze data to inform reading instruction; and provide evidence</w:t>
      </w:r>
      <w:r w:rsidRPr="00600CFF">
        <w:noBreakHyphen/>
        <w:t>based interventions as needed so that all students develop proficiency with literacy skills and comprehension;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classroom teachers periodically reassess their curriculum and instruction to determine if they are helping each student progress as a proficient reader and make modifications as appropriate;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each student who cannot yet comprehend grade</w:t>
      </w:r>
      <w:r w:rsidRPr="00600CFF">
        <w:noBreakHyphen/>
        <w:t xml:space="preserve">level texts identified and served as early as possible and at all stages of his or her educational process;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each student receives targeted, effective comprehension support from the classroom teacher and, if needed, supplemental support from a reading interventionist so that ultimately all students can comprehend grade</w:t>
      </w:r>
      <w:r w:rsidRPr="00600CFF">
        <w:noBreakHyphen/>
        <w:t xml:space="preserve">level texts;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each student and his parent or guardian is continuously informed in writing of:</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the student’s reading proficiency needs, progress, and ability to comprehend and write grade</w:t>
      </w:r>
      <w:r w:rsidRPr="00600CFF">
        <w:noBreakHyphen/>
        <w:t xml:space="preserve">level text;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00CFF">
        <w:rPr>
          <w:szCs w:val="52"/>
        </w:rPr>
        <w:tab/>
      </w:r>
      <w:r w:rsidRPr="00600CFF">
        <w:rPr>
          <w:szCs w:val="52"/>
        </w:rPr>
        <w:tab/>
        <w:t>(b)</w:t>
      </w:r>
      <w:r w:rsidRPr="00600CFF">
        <w:rPr>
          <w:szCs w:val="52"/>
        </w:rPr>
        <w:tab/>
        <w:t xml:space="preserve">specific actions the classroom teacher and other reading professionals </w:t>
      </w:r>
      <w:r w:rsidRPr="00600CFF">
        <w:rPr>
          <w:szCs w:val="36"/>
        </w:rPr>
        <w:t>have taken and will take to help the</w:t>
      </w:r>
      <w:r w:rsidRPr="00600CFF">
        <w:rPr>
          <w:szCs w:val="52"/>
        </w:rPr>
        <w:t xml:space="preserve"> </w:t>
      </w:r>
      <w:r w:rsidRPr="00600CFF">
        <w:rPr>
          <w:szCs w:val="36"/>
        </w:rPr>
        <w:t>student comprehend and write grade</w:t>
      </w:r>
      <w:r w:rsidRPr="00600CFF">
        <w:rPr>
          <w:szCs w:val="36"/>
        </w:rPr>
        <w:noBreakHyphen/>
        <w:t>level texts;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specific actions that the parent or guardian can take to help the student comprehend grade</w:t>
      </w:r>
      <w:r w:rsidRPr="00600CFF">
        <w:noBreakHyphen/>
        <w:t>level texts by providing access to books, assuring time for the student to read independently, reading to students, and talking with the student about books;</w:t>
      </w:r>
    </w:p>
    <w:p w:rsidR="00E07D7F" w:rsidRPr="00600CFF" w:rsidRDefault="00E07D7F" w:rsidP="0073283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00CFF">
        <w:tab/>
        <w:t>(6)</w:t>
      </w:r>
      <w:r w:rsidRPr="00600CFF">
        <w:tab/>
        <w:t>classroom teachers receive preservice and in</w:t>
      </w:r>
      <w:r w:rsidRPr="00600CFF">
        <w:noBreakHyphen/>
        <w:t>service coursework which prepares them to help all students comprehend grade</w:t>
      </w:r>
      <w:r w:rsidRPr="00600CFF">
        <w:noBreakHyphen/>
        <w:t xml:space="preserve">level text;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all students develop reading and writing proficiency to prepare them to graduate and to succeed in career and post</w:t>
      </w:r>
      <w:r w:rsidRPr="00600CFF">
        <w:noBreakHyphen/>
        <w:t xml:space="preserve">secondary education; and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each school district and each school develops and publishes annually a comprehensive research based reading plan that includes intervention options available to students and funding for these services.</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120.</w:t>
      </w:r>
      <w:r w:rsidRPr="00600CFF">
        <w:tab/>
        <w:t xml:space="preserve">As used in this chapter: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 xml:space="preserve">‘Department’ means the State Department of Education.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‘Board’ means the State Board of Education.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‘Readiness assessment’ means assessments used to analyze students’ literacy, mathematical, physical, social, and emotional behavioral competencies in prekindergarten or kindergarten.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‘Research based formative assessment’ means assessments used within the school year to analyze the strengths and weaknesses in reading comprehension of students individually to  adapt instruction to meet individual student needs, make decisions about appropriate intervention services, and inform placement and instructional planning for the next grade level.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‘Summative assessment’ means state approved assessments administered in grades three through eight and any statewide assessment used in grades nine through twelve to determine student mastery of grade level or content standards.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‘Discipline specific literacy’ means the ability to read, write, listen, and speak across various disciplines and content areas including, but not limited to, English/language arts, science, mathematics, social studies, physical education, health, the arts, and career and technology education.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‘Reading interventions’ means individual or group assistance in the classroom and supplemental support based on curricular and instructional decisions made by classroom teachers who have proven effectiveness in teaching reading and an add</w:t>
      </w:r>
      <w:r w:rsidRPr="00600CFF">
        <w:noBreakHyphen/>
        <w:t xml:space="preserve">on literacy endorsement or reading/literacy coaches who meet the minimum qualifications established in guidelines published by the Department of Education.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‘Reading proficiency’ means the ability of students to meet state reading standards in kindergarten through grade twelve, demonstrated by readiness, formative or summative assessments.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 xml:space="preserve">‘Reading proficiency skills’ means the ability to understand how written language works at the word, sentence, paragraph, and text level and mastery of the skills, strategies, and oral and written language needed to comprehend </w:t>
      </w:r>
      <w:r>
        <w:t>grade appropriate</w:t>
      </w:r>
      <w:r w:rsidRPr="00600CFF">
        <w:t xml:space="preserve"> texts.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(10)</w:t>
      </w:r>
      <w:r w:rsidRPr="00600CFF">
        <w:tab/>
        <w:t>‘Third grade reading proficiency’ means the ability to read grade</w:t>
      </w:r>
      <w:r w:rsidRPr="00600CFF">
        <w:noBreakHyphen/>
        <w:t xml:space="preserve">level texts by the end of a student’s third grade year as demonstrated by the results of state approved assessments administered to third grade students, or through other assessments as noted in this chapter and adopted by the board.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(11)</w:t>
      </w:r>
      <w:r w:rsidRPr="00600CFF">
        <w:tab/>
        <w:t>‘Substantially fails to demonstrate third</w:t>
      </w:r>
      <w:r w:rsidRPr="00600CFF">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(12)</w:t>
      </w:r>
      <w:r w:rsidRPr="00600CFF">
        <w:tab/>
        <w:t>‘Summer reading camp’ means an educational program offered in the summer by each local school district for students who are unable to comprehend grade</w:t>
      </w:r>
      <w:r w:rsidRPr="00600CFF">
        <w:noBreakHyphen/>
        <w:t>level text.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(13)</w:t>
      </w:r>
      <w:r w:rsidRPr="00600CFF">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(14)</w:t>
      </w:r>
      <w:r w:rsidRPr="00600CFF">
        <w:tab/>
        <w:t>‘Writing proficiency skills’ means the ability to communicate information, analysis, and persuasive points of view effectively in writing.</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130.</w:t>
      </w:r>
      <w:r w:rsidRPr="00600CFF">
        <w:tab/>
        <w:t xml:space="preserve">The Read to Succeed Office must guide and support districts and collaborate with university teacher training programs to increase reading proficiency through the following functions including, but not limited to: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providing professional development to teachers, school principals, and other administrative staff on reading and writing instruction and reading assessment that informs instruction;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providing professional development to teachers, school principals, and other administrative staff on reading and writing in content areas;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working collaboratively with institutions of higher learning offering courses in reading and writing and those institutions of higher education offering accredited master’s degrees in reading</w:t>
      </w:r>
      <w:r w:rsidRPr="00600CFF">
        <w:noBreakHyphen/>
        <w:t>literacy to design coursework leading to a literacy teacher add</w:t>
      </w:r>
      <w:r w:rsidRPr="00600CFF">
        <w:noBreakHyphen/>
        <w:t xml:space="preserve">on endorsement by the State;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providing professional development in reading coaching for already certified literacy coaches and literacy teachers;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developing information and resources that school districts can use to provide workshops for parents about how they can support their children as readers and writers;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assisting school districts in the development and implementation of their district reading proficiency plans for research</w:t>
      </w:r>
      <w:r w:rsidRPr="00600CFF">
        <w:noBreakHyphen/>
        <w:t xml:space="preserve">based reading instruction programs and to assist each of their schools to develop its own implementation plan aligned with the district and state plans;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annually designing content and questions for and review and approve the reading proficiency plan of each district;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monitor and report to the State Board of Education the yearly success rate of summer reading camps.  Districts must provide statistical data to include the: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number of students enrolled in camps;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(b)</w:t>
      </w:r>
      <w:r w:rsidRPr="00600CFF">
        <w:tab/>
        <w:t>number of students by grade level who successfully complete the camps;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number of third</w:t>
      </w:r>
      <w:r w:rsidRPr="00600CFF">
        <w:noBreakHyphen/>
        <w:t>graders promoted to fourth grade;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(d)</w:t>
      </w:r>
      <w:r w:rsidRPr="00600CFF">
        <w:tab/>
        <w:t>number of third</w:t>
      </w:r>
      <w:r w:rsidRPr="00600CFF">
        <w:noBreakHyphen/>
        <w:t>graders retained;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(e)</w:t>
      </w:r>
      <w:r w:rsidRPr="00600CFF">
        <w:tab/>
        <w:t>total expenditure made on operating the camps by source of funds to include in</w:t>
      </w:r>
      <w:r w:rsidRPr="00600CFF">
        <w:noBreakHyphen/>
        <w:t>kind donations;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provide an annual report to the General Assembly regarding the implementation of the South Carolina Read to Succeed Act and the State’s and districts’ progress toward ensuring that ninety</w:t>
      </w:r>
      <w:r w:rsidRPr="00600CFF">
        <w:noBreakHyphen/>
        <w:t>five percent of all students are reading at grade level.</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140.</w:t>
      </w:r>
      <w:r w:rsidRPr="00600CFF">
        <w:tab/>
        <w:t>(A)(1)</w:t>
      </w:r>
      <w:r w:rsidRPr="00600CFF">
        <w:tab/>
        <w:t>The department, with approval by the State Board of Education, will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 xml:space="preserve">reading process;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professional development to increase teacher reading expertise;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professional development to increase reading expertise and literacy leadership of principals and assistant principals;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reading instruction;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reading assessment;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discipline specific literacy;</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(g)</w:t>
      </w:r>
      <w:r w:rsidRPr="00600CFF">
        <w:tab/>
        <w:t>writing proficiency skills;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(h)</w:t>
      </w:r>
      <w:r w:rsidRPr="00600CFF">
        <w:tab/>
        <w:t xml:space="preserve">support for struggling readers;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(i)</w:t>
      </w:r>
      <w:r w:rsidRPr="00600CFF">
        <w:tab/>
      </w:r>
      <w:r>
        <w:tab/>
      </w:r>
      <w:r w:rsidRPr="00600CFF">
        <w:t xml:space="preserve">early childhood interventions;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(j)</w:t>
      </w:r>
      <w:r>
        <w:tab/>
      </w:r>
      <w:r w:rsidRPr="00600CFF">
        <w:tab/>
        <w:t>family support of literacy development;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(k)</w:t>
      </w:r>
      <w:r w:rsidRPr="00600CFF">
        <w:tab/>
        <w:t>district guidance and support for reading proficiency;</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(l)</w:t>
      </w:r>
      <w:r>
        <w:tab/>
      </w:r>
      <w:r w:rsidRPr="00600CFF">
        <w:tab/>
        <w:t xml:space="preserve">state guidance and support for reading proficiency;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(m)</w:t>
      </w:r>
      <w:r w:rsidRPr="00600CFF">
        <w:tab/>
        <w:t>accountability;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(n)</w:t>
      </w:r>
      <w:r w:rsidRPr="00600CFF">
        <w:tab/>
        <w:t>urgency to improve reading proficiency.</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plan must be based on reading research and proven effective practices, applied to the conditions prevailing in reading</w:t>
      </w:r>
      <w:r w:rsidRPr="00600CFF">
        <w:noBreakHyphen/>
        <w:t>literacy education in this State, with special emphasis on addressing instructional and institutional deficiencies that can be remedied through faithful implementation of research</w:t>
      </w:r>
      <w:r w:rsidRPr="00600CFF">
        <w:noBreakHyphen/>
        <w:t xml:space="preserve">based practices.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in Fiscal Year 2015</w:t>
      </w:r>
      <w:r w:rsidRPr="00600CFF">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600CFF">
        <w:noBreakHyphen/>
        <w:t>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The model district plan piloted in school districts in 2013</w:t>
      </w:r>
      <w:r w:rsidRPr="00600CFF">
        <w:noBreakHyphen/>
        <w:t>2014 and revised based on the input of districts will be used as the initial district reading plan template implemented in Fiscal Year 2015</w:t>
      </w:r>
      <w:r w:rsidRPr="00600CFF">
        <w:noBreakHyphen/>
        <w:t>2016.</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Each district PK</w:t>
      </w:r>
      <w:r w:rsidRPr="00600CFF">
        <w:noBreakHyphen/>
        <w:t>12 reading proficiency plan shall:</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document the reading and writing assessment and instruction planned for all prekindergarten through twelfth grade to be provided to all struggling readers who are not able to comprehend grade</w:t>
      </w:r>
      <w:r w:rsidRPr="00600CFF">
        <w:noBreakHyphen/>
        <w:t>level texts.  Supplemental instruction should be provided by teachers who have a literacy teacher add</w:t>
      </w:r>
      <w:r w:rsidRPr="00600CFF">
        <w:noBreakHyphen/>
        <w:t>on endorsement or by reading/literacy coaches and offered during the school day and, as appropriate, before or after school in book clubs, through a summer reading camp, or both;</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include a system for helping parents understand how they can support the student as a reader at home;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provide for the monitoring of reading achievement and growth at the classroom, school and district levels with decisions about intervention based on all available data.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ensure that students are provided with wide selections of texts over a wide range of genres and written on a wide range of reading levels to match the reading levels of students;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provide teacher training in reading and writing instruction;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 xml:space="preserve">include strategically planned and developed partnerships with county libraries, state and local arts organizations, volunteers, social organizations and school media specialists to promote reading.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(3)(a)</w:t>
      </w:r>
      <w:r w:rsidRPr="00600CFF">
        <w:tab/>
        <w:t xml:space="preserve">The Read to Succeed Office shall develop the format for the plan and the deadline for districts to submit their plans to the office for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The Read to Succeed Office will monitor the district and school plans and use their findings to inform the training and support the office provides to districts and schools.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The Read to Succeed Office may direct a district that is persistently unable to prepare an acceptable PK</w:t>
      </w:r>
      <w:r w:rsidRPr="00600CFF">
        <w:noBreakHyphen/>
        <w:t>12 reading proficiency plan or to help all students comprehend grade</w:t>
      </w:r>
      <w:r w:rsidRPr="00600CFF">
        <w:noBreakHyphen/>
        <w:t xml:space="preserve">level texts to enter into a multi district or contractual arrangement to develop an effective intervention plan.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Each school must prepare an implementation plan aligned with the plan of its district to enable the district to monitor and support implementation at the school level. The school plan should be a component of the school’s strategic plan required by Section 59</w:t>
      </w:r>
      <w:r w:rsidRPr="00600CFF">
        <w:noBreakHyphen/>
        <w:t>18</w:t>
      </w:r>
      <w:r w:rsidRPr="00600CFF">
        <w:noBreakHyphen/>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150.</w:t>
      </w:r>
      <w:r w:rsidRPr="00600CFF">
        <w:tab/>
        <w:t>(A)</w:t>
      </w:r>
      <w:r w:rsidRPr="00600CFF">
        <w:tab/>
        <w:t>The State Board of Education shall ensure that every student entering the public schools for the first time in prekindergarten and kindergarten will be administered a readiness assessment by the forty</w:t>
      </w:r>
      <w:r w:rsidRPr="00600CFF">
        <w:noBreakHyphen/>
        <w:t>fifth day of the school year. The assessment must assess each child’s early language and literacy development, mathematical thinking, physical wellbeing, and social 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and health problems, and concerning appropriate instruction and support for each child. The results of the assessments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for their peers in the State must be aligned with the district’s reading proficiency plan for addressing the readiness needs of each student. The results of each assessment also must be reported to the Read to Succeed Office through an electronic information system.</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600CFF">
        <w:noBreakHyphen/>
        <w:t>class and supplemental reading intervention and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 class intervention and at least thirty minutes of supplemental intervention until the student can comprehend and write grade</w:t>
      </w:r>
      <w:r w:rsidRPr="00600CFF">
        <w:noBreakHyphen/>
        <w:t>level text independently. In addition, the parent or guardian of the student must be notified in writing of the child’s inability to read grade</w:t>
      </w:r>
      <w:r w:rsidRPr="00600CFF">
        <w:noBreakHyphen/>
        <w:t xml:space="preserve">level texts during and at the end of the planned interventions. The results of the initial assessments and progress monitoring also must be provided to the Read to Succeed Office for individually identified students.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 xml:space="preserve">Programs that focus on early childhood literacy development in the State are required to promote: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parent training and support for parent involvement in developing children’s literacy;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development of oral language, print awareness, and emergent writing; and are encouraged to promote community literacy including, but not limited to, primary health care providers, faith based organizations, county libraries, and service organizations.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Districts that fail to provide reports on summer reading camps pursuant to Section 59</w:t>
      </w:r>
      <w:r w:rsidRPr="00600CFF">
        <w:noBreakHyphen/>
        <w:t>15</w:t>
      </w:r>
      <w:r w:rsidRPr="00600CFF">
        <w:noBreakHyphen/>
        <w:t xml:space="preserve">130(8) are ineligible to receive state funding for summer reading camps for the following fiscal year; however, districts must continue to operate summer reading camps as defined in this act. </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160.</w:t>
      </w:r>
      <w:r w:rsidRPr="00600CFF">
        <w:tab/>
        <w:t>(A)</w:t>
      </w:r>
      <w:r w:rsidRPr="00600CFF">
        <w:tab/>
        <w:t>Beginning with the 2017</w:t>
      </w:r>
      <w:r w:rsidRPr="00600CFF">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with limited English proficiency and less than two years of instruction in English as a Second Language program;</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 xml:space="preserve">with disabilities whose individualized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who demonstrate third grade reading proficiency on an alternative assessment approved by the board and which teachers may administer following the administration of the state assessment of reading and after a student’s participation in a summer reading camp;</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 xml:space="preserve">who have received two years of reading intervention and were previously retained; and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who through a reading portfolio document the student’s mastery of the state standards in reading equal to at least a level above the lowest achievement level on the state reading assessment.  Such evidence must be an organized collection of the student’s mastery of the State’s English/language arts standards that are assessed by the Grade Three state reading assessment.  The student portfolio must meet the following criteria:</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be selected by the student’s English/language arts teacher or summer reading camp instructor;</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be an accurate picture of the student’s ability and include only student work that has been independently produced in the classroom;</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district’s or school’s adopted core reading curriculum that are aligned with the State English/language arts standards or teacher</w:t>
      </w:r>
      <w:r w:rsidRPr="00600CFF">
        <w:noBreakHyphen/>
        <w:t>prepared assessments;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be signed by the teacher and the principal as an accurate assessment of the required reading skills.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 xml:space="preserve">The superintendent of the local school district must determine whether a student in the district may be exempt from the mandatory retention by taking all of the following steps: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The teacher of a student eligible for exemption must submit to the principal documentation on the proposed exemption and evidence that promotion of the student is appropriate. This evidence must be limited to the individual education program, alternative assessments or student reading portfolio.  The Read to Succeed Office must provide districts with a standardized form to use in the process.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The district superintendent’s acceptance or rejection of the recommendation must be in writing and a copy must be provided to the parent or guardian of the child.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Students scoring at the lowest achievement level on the statewide summative reading assessment may enroll in a summer camp prior to being retained the following school year. Summer camps must be six to eight weeks long for four or five days each week and include at least four hours of instructional time daily.  The camps must be taught by compensated teachers who have at least a Literacy Endorsement add</w:t>
      </w:r>
      <w:r w:rsidRPr="00600CFF">
        <w:noBreakHyphen/>
        <w:t>on and who have demonstrated substantial success in helping students comprehend grade</w:t>
      </w:r>
      <w:r w:rsidRPr="00600CFF">
        <w:noBreakHyphen/>
        <w:t>level texts.  A parent or guardian of a student who does not substantially demonstrate proficiency in comprehending texts appropriate for his grade level must make the final decision regarding the student’s participation in the summer camp.  A district may offer summer reading camps for students who are not exhibiting reading proficiency in prekindergarten through second grade.  The district may charge fees based on a sliding scale pursuant to Section 59</w:t>
      </w:r>
      <w:r w:rsidRPr="00600CFF">
        <w:noBreakHyphen/>
        <w:t>19</w:t>
      </w:r>
      <w:r w:rsidRPr="00600CFF">
        <w:noBreakHyphen/>
        <w:t>90.  Students who demonstrate third grade reading proficiency through an alternative assessment or student reading portfolio after completing the summer reading camp qualify for good cause exemptions specified in Section 59</w:t>
      </w:r>
      <w:r w:rsidRPr="00600CFF">
        <w:noBreakHyphen/>
        <w:t>155</w:t>
      </w:r>
      <w:r w:rsidRPr="00600CFF">
        <w:noBreakHyphen/>
        <w:t xml:space="preserve">160 and promotion to the fourth grade.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(D)</w:t>
      </w:r>
      <w:r w:rsidRPr="00600CFF">
        <w:tab/>
        <w:t>Retained students must be provided intensive instructional services and supports including a minimum of ninety minutes of daily reading and writing instruction, supplemental instruction, and other strategies prescribed by the school district.  These strategies may include, but are not limited to, instruction directly focused on improving the student’s individual reading proficiency skills through small group instruction, reduced teacher</w:t>
      </w:r>
      <w:r w:rsidRPr="00600CFF">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(E)</w:t>
      </w:r>
      <w:r w:rsidRPr="00600CFF">
        <w:tab/>
        <w:t>If the student is not demonstrating third</w:t>
      </w:r>
      <w:r w:rsidRPr="00600CFF">
        <w:noBreakHyphen/>
        <w:t>grade reading proficiency by the end of third grade, his parent or guardian must be notified in a timely manner and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600CFF">
        <w:noBreakHyphen/>
        <w:t>level texts. The parent, guardian, or other education advocate must receive written reports at least monthly on the student’s progress towards being able to read grade</w:t>
      </w:r>
      <w:r w:rsidRPr="00600CFF">
        <w:noBreakHyphen/>
        <w:t>level texts based upon the student’s classroom work, observations, tests, assessment, and other information. The parent, guardian, or other education advocate also must be provided with a plan for promoting reading at home, including participation in shared or guided reading workshops for the parent, guardian, or other family members. The parent or guardian of a retained student must be offered supplemental tutoring for the retained student in evidenced</w:t>
      </w:r>
      <w:r w:rsidRPr="00600CFF">
        <w:noBreakHyphen/>
        <w:t>based services outside the instructional day.</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(F)</w:t>
      </w:r>
      <w:r w:rsidRPr="00600CFF">
        <w:tab/>
        <w:t xml:space="preserve">For students in grades four and above who are substantially not demonstrating reading proficiency, interventions will be provided in the classroom and supplementally by teachers with a </w:t>
      </w:r>
      <w:r>
        <w:t>Literacy Teacher</w:t>
      </w:r>
      <w:r w:rsidRPr="00600CFF">
        <w:t xml:space="preserve"> add</w:t>
      </w:r>
      <w:r w:rsidRPr="00600CFF">
        <w:noBreakHyphen/>
        <w:t>on endorsement or reading/literacy coaches. This supplemental support will be provided during the school day and, as appropriate, before or after school in book clubs or through a summer reading camp.</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170.</w:t>
      </w:r>
      <w:r w:rsidRPr="00600CFF">
        <w:tab/>
        <w:t>(A)</w:t>
      </w:r>
      <w:r w:rsidRPr="00600CFF">
        <w:tab/>
        <w:t>To help students develop and apply their reading and writing skills across the school day in all the academic disciplines, including, but not limited to, English/language arts, mathematics, science, social studies, art, career and technology education, and physical and health education, teachers of these content areas at all grade levels must focus on helping students comprehend print and non</w:t>
      </w:r>
      <w:r w:rsidRPr="00600CFF">
        <w:noBreakHyphen/>
        <w:t>print texts authentic to the content area.  The Read to Succeed Program is intended to institutionalize in public schools a comprehensive system to promote high achievement in the content areas described in this chapter through extensive reading and writing. Research</w:t>
      </w:r>
      <w:r w:rsidRPr="00600CFF">
        <w:noBreakHyphen/>
        <w:t>based practices must be employed to promote comprehension skills through, but not limited to:</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vocabulary;</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connotation of words;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connotations of words in context with adjoining or prior text;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concepts from prior text;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personal background knowledge;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ability to interpret meaning through sentence structure features;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(7)</w:t>
      </w:r>
      <w:r w:rsidRPr="00600CFF">
        <w:tab/>
        <w:t>questioning;</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(8)</w:t>
      </w:r>
      <w:r w:rsidRPr="00600CFF">
        <w:tab/>
        <w:t>visualization; and</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(9)</w:t>
      </w:r>
      <w:r w:rsidRPr="00600CFF">
        <w:tab/>
        <w:t>discussion of text with peers.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These practices must be mastered by teachers through high quality training and addressed through well</w:t>
      </w:r>
      <w:r w:rsidRPr="00600CFF">
        <w:noBreakHyphen/>
        <w:t>designed and effectively executed assessment and instruction implemented with fidelity to research</w:t>
      </w:r>
      <w:r w:rsidRPr="00600CFF">
        <w:noBreakHyphen/>
        <w:t xml:space="preserve">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600CFF">
        <w:tab/>
        <w:t>(C)</w:t>
      </w:r>
      <w:r w:rsidRPr="00600CFF">
        <w:tab/>
        <w:t>During the 2014</w:t>
      </w:r>
      <w:r w:rsidRPr="00600CFF">
        <w:noBreakHyphen/>
        <w:t>2015 school year, the Read to Succeed Office will establish a set of essential competencies that describe what certified teachers at the early childhood, elementary, middle, or secondary levels must know and be able to do so that all students can comprehend grade</w:t>
      </w:r>
      <w:r w:rsidRPr="00600CFF">
        <w:noBreakHyphen/>
        <w:t>level texts.  These competencies, developed collaboratively with faculty of higher education institutions and based on research and national standards, must then be incorporated into the coursework required by Section 59</w:t>
      </w:r>
      <w:r w:rsidRPr="00600CFF">
        <w:noBreakHyphen/>
        <w:t>155</w:t>
      </w:r>
      <w:r w:rsidRPr="00600CFF">
        <w:noBreakHyphen/>
        <w:t>180.  The Read to Succeed Office, in collaboration with South Carolina Educational Television, shall provide professional development courses to ensure that educators have access to multiple avenues of receiving endorsements.</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180.</w:t>
      </w:r>
      <w:r w:rsidRPr="00600CFF">
        <w:tab/>
        <w:t>(A)</w:t>
      </w:r>
      <w:r w:rsidRPr="00600CFF">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twelfth grade, the State will strengthen its preservice and inservice teacher education programs.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early childhood or elementary level to complete a twelve</w:t>
      </w:r>
      <w:r w:rsidRPr="00600CFF">
        <w:noBreakHyphen/>
        <w:t>credit hour sequence in literacy that includes a school</w:t>
      </w:r>
      <w:r w:rsidRPr="00600CFF">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600CFF">
        <w:noBreakHyphen/>
        <w:t>service teacher education programs prioritize its mission and resources so all early and elementary education teachers have the knowledge and skills to provide effective instruction in reading and numeracy to all students.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middle or secondary level to complete a six</w:t>
      </w:r>
      <w:r w:rsidRPr="00600CFF">
        <w:noBreakHyphen/>
        <w:t>credit hour sequence in literacy that includes a course in the foundations of literacy and a course in content</w:t>
      </w:r>
      <w:r w:rsidRPr="00600CFF">
        <w:noBreakHyphen/>
        <w:t>area reading. All middle and secondary teacher preparation programs are to be approved by the Read to Succeed Office to ensure that all teacher candidates possess the necessary knowledge and skills to assist effectively all adolescents in becoming proficient readers.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(C)(1)</w:t>
      </w:r>
      <w:r w:rsidRPr="00600CFF">
        <w:tab/>
        <w:t xml:space="preserve">To ensure that practicing professionals possess the knowledge and skills necessary to assist all children and adolescents in becoming proficient readers, multiple pathways are needed for developing this capacity.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(2)(a)</w:t>
      </w:r>
      <w:r w:rsidRPr="00600CFF">
        <w:tab/>
        <w:t>Reading/literacy coaches employed in schools will serve as job</w:t>
      </w:r>
      <w:r w:rsidRPr="00600CFF">
        <w:noBreakHyphen/>
        <w:t>embedded, stable resources for professional development through a school to foster improving in reading instruction and student reading achievement. 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 endorsement.  Reading/literacy coaches will support and provide initial and ongoing professional development to teachers based on an analysis of student assessment and the provision of differentiated instruction and intensive intervention. The reading/literacy coach will:</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w:t>
      </w:r>
      <w:r>
        <w:tab/>
      </w:r>
      <w:r w:rsidRPr="00600CFF">
        <w:tab/>
        <w:t xml:space="preserve">model effective instructional strategies for teachers;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w:t>
      </w:r>
      <w:r w:rsidRPr="00600CFF">
        <w:tab/>
        <w:t>facilitate study groups;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(iii)</w:t>
      </w:r>
      <w:r w:rsidRPr="00600CFF">
        <w:tab/>
        <w:t>train teachers in data analysis and using data to differentiate instruction; coaching and mentoring colleagues;</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(iv)</w:t>
      </w:r>
      <w:r w:rsidRPr="00600CFF">
        <w:tab/>
        <w:t>work with teachers to ensure that research</w:t>
      </w:r>
      <w:r w:rsidRPr="00600CFF">
        <w:noBreakHyphen/>
        <w:t xml:space="preserve">based reading programs are implemented with fidelity; and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(v)</w:t>
      </w:r>
      <w:r w:rsidRPr="00600CFF">
        <w:tab/>
        <w:t xml:space="preserve">help lead and support reading leadership teams.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The reading coach must not be assigned a regular classroom teaching assignment, must not perform administrative functions that deter from the role of improving reading instruction and reading performance of students. </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Beginning in 2015</w:t>
      </w:r>
      <w:r w:rsidRPr="00600CFF">
        <w:noBreakHyphen/>
        <w:t>2016, early childhood and elementary education certified classroom teachers, reading interventionists, and special education teachers who provide learning disability and speech services to students who need to improve substantially their low reading and writing proficiency skills are required to earn the literacy teacher add</w:t>
      </w:r>
      <w:r w:rsidRPr="00600CFF">
        <w:noBreakHyphen/>
        <w:t xml:space="preserve">on endorsement within ten years of their most recent certification by taking at least </w:t>
      </w:r>
      <w:r>
        <w:t>one</w:t>
      </w:r>
      <w:r w:rsidRPr="00600CFF">
        <w:t xml:space="preserve"> course or </w:t>
      </w:r>
      <w:r>
        <w:t>three</w:t>
      </w:r>
      <w:r w:rsidRPr="00600CFF">
        <w:t xml:space="preserve"> credit hours every five years, or the equivalent professional development hours as determined by the South Carolina Read to Succeed Office,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600CFF">
        <w:noBreakHyphen/>
        <w:t>alone practicum.   Whenever possible, these courses must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600CFF">
        <w:noBreakHyphen/>
        <w:t>on reading teacher certification can take a content area reading course to obtain their literacy teacher add</w:t>
      </w:r>
      <w:r w:rsidRPr="00600CFF">
        <w:noBreakHyphen/>
        <w:t>on endorsement.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that are approved by the State Board of Education in regulation are exempt from this requirement.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Beginning in 2015</w:t>
      </w:r>
      <w:r w:rsidRPr="00600CFF">
        <w:noBreakHyphen/>
        <w:t>2016, middle and secondary certified classroom teachers are required to take at least two courses or six credit hours, or the equivalent professional development hours as determined by the South Carolina Read to Succeed Office, to improve reading instruction within five years of their most recent certification. The courses must be approved by the State Board of Education and include courses leading to the literacy teacher add</w:t>
      </w:r>
      <w:r w:rsidRPr="00600CFF">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as approved by the State Board of Education in regulation are exempt from this requirement.</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Beginning in 2015</w:t>
      </w:r>
      <w:r w:rsidRPr="00600CFF">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must include information about reading processes, instruction, and assessment or content area literacy and must be approved by the Read to Succeed Office.</w:t>
      </w: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190.</w:t>
      </w:r>
      <w:r w:rsidRPr="00600CFF">
        <w:tab/>
        <w:t>Local school districts are encouraged to create family school 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600CFF">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200.</w:t>
      </w:r>
      <w:r w:rsidRPr="00600CFF">
        <w:tab/>
        <w:t>The Read to Succeed Office and each school district must plan for and act decisively to engage the families of students as full participating partners in promoting the reading and writing habits and skills of their children. With support from the Read to Succeed Office, districts and individual schools shall provide families with helpful information about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600CFF">
        <w:noBreakHyphen/>
        <w:t>level texts and how to interpret information about reading that is sent home.  The districts and schools shall help families learn about reading and writing through home visits, open houses, South Carolina ETV, video and audio tapes, websites, and school</w:t>
      </w:r>
      <w:r w:rsidRPr="00600CFF">
        <w:noBreakHyphen/>
        <w:t xml:space="preserve">family events and collaborations that help link home and school. The information should enable family members to understand the reading and writing skills required for graduation and essential for success in a career.  </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7F" w:rsidRPr="00600CF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210.</w:t>
      </w:r>
      <w:r w:rsidRPr="00600CFF">
        <w:tab/>
        <w:t>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education stakeholders who have a deep understanding of reading as well as school boards, administrators, and others who play key roles in facilitating support for and implementation of effective reading instruction.”</w:t>
      </w: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7F" w:rsidRDefault="00E07D7F" w:rsidP="0073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CFF">
        <w:t>SECTION</w:t>
      </w:r>
      <w:r w:rsidRPr="00600CFF">
        <w:tab/>
        <w:t>2.</w:t>
      </w:r>
      <w:r w:rsidRPr="00600CFF">
        <w:tab/>
        <w:t>This act takes effect upon approval by the Governor and is subject to the availability of state funding.</w:t>
      </w:r>
    </w:p>
    <w:p w:rsidR="00E07D7F" w:rsidRDefault="00E07D7F" w:rsidP="003F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A98" w:rsidRDefault="009A0A98" w:rsidP="00E07D7F">
      <w:pPr>
        <w:pStyle w:val="BillDots"/>
      </w:pPr>
    </w:p>
    <w:sectPr w:rsidR="009A0A98" w:rsidSect="00E700F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FFE" w:rsidRDefault="00EF5FFE" w:rsidP="009F0C77">
      <w:r>
        <w:separator/>
      </w:r>
    </w:p>
  </w:endnote>
  <w:endnote w:type="continuationSeparator" w:id="0">
    <w:p w:rsidR="00EF5FFE" w:rsidRDefault="00EF5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094535-F4FC-4E7D-B768-386C19E051EB}"/>
    <w:embedBold r:id="rId2" w:fontKey="{0355F27E-A793-4EA0-B464-18ADED0F68CB}"/>
    <w:embedItalic r:id="rId3" w:fontKey="{E5D785DB-20F1-4888-9127-BB4F1B88147C}"/>
  </w:font>
  <w:font w:name="Calibri">
    <w:panose1 w:val="020F0502020204030204"/>
    <w:charset w:val="00"/>
    <w:family w:val="swiss"/>
    <w:pitch w:val="variable"/>
    <w:sig w:usb0="E10002FF" w:usb1="4000ACFF" w:usb2="00000009" w:usb3="00000000" w:csb0="0000019F" w:csb1="00000000"/>
    <w:embedRegular r:id="rId4" w:fontKey="{F48152A7-39D3-45C9-A25A-B76E30A392DD}"/>
  </w:font>
  <w:font w:name="Cambria">
    <w:panose1 w:val="02040503050406030204"/>
    <w:charset w:val="00"/>
    <w:family w:val="roman"/>
    <w:pitch w:val="variable"/>
    <w:sig w:usb0="E00002FF" w:usb1="400004FF" w:usb2="00000000" w:usb3="00000000" w:csb0="0000019F" w:csb1="00000000"/>
    <w:embedRegular r:id="rId5" w:fontKey="{850CCC78-107E-4B6B-9A8A-1DABBD11B5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D7F" w:rsidRPr="009A0A98" w:rsidRDefault="00E07D7F" w:rsidP="009A0A98">
    <w:pPr>
      <w:pStyle w:val="Footer"/>
      <w:tabs>
        <w:tab w:val="clear" w:pos="4680"/>
        <w:tab w:val="clear" w:pos="9360"/>
        <w:tab w:val="center" w:pos="2995"/>
      </w:tabs>
      <w:spacing w:before="120"/>
    </w:pPr>
    <w:r>
      <w:t>[3994-</w:t>
    </w:r>
    <w:r w:rsidR="007A39F8">
      <w:fldChar w:fldCharType="begin"/>
    </w:r>
    <w:r w:rsidR="007A39F8">
      <w:instrText xml:space="preserve"> PAGE  \* MERGEFORMAT </w:instrText>
    </w:r>
    <w:r w:rsidR="007A39F8">
      <w:fldChar w:fldCharType="separate"/>
    </w:r>
    <w:r w:rsidR="00555624">
      <w:rPr>
        <w:noProof/>
      </w:rPr>
      <w:t>1</w:t>
    </w:r>
    <w:r w:rsidR="007A39F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D30" w:rsidRPr="009A0A98" w:rsidRDefault="00E07D7F" w:rsidP="009A0A98">
    <w:pPr>
      <w:pStyle w:val="Footer"/>
      <w:tabs>
        <w:tab w:val="clear" w:pos="4680"/>
        <w:tab w:val="clear" w:pos="9360"/>
        <w:tab w:val="center" w:pos="2995"/>
      </w:tabs>
      <w:spacing w:before="120"/>
    </w:pPr>
    <w:r>
      <w:t>[3994]</w:t>
    </w:r>
    <w:r>
      <w:tab/>
    </w:r>
    <w:r w:rsidR="00093F8F">
      <w:fldChar w:fldCharType="begin"/>
    </w:r>
    <w:r>
      <w:instrText xml:space="preserve"> PAGE  \* MERGEFORMAT </w:instrText>
    </w:r>
    <w:r w:rsidR="00093F8F">
      <w:fldChar w:fldCharType="separate"/>
    </w:r>
    <w:r w:rsidR="00555624">
      <w:rPr>
        <w:noProof/>
      </w:rPr>
      <w:t>1</w:t>
    </w:r>
    <w:r w:rsidR="00093F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FFE" w:rsidRDefault="00EF5FFE" w:rsidP="009F0C77">
      <w:r>
        <w:separator/>
      </w:r>
    </w:p>
  </w:footnote>
  <w:footnote w:type="continuationSeparator" w:id="0">
    <w:p w:rsidR="00EF5FFE" w:rsidRDefault="00EF5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75AB13"/>
    <w:docVar w:name="CoverBillType" w:val="b"/>
    <w:docVar w:name="docpath" w:val="L:\Council\bills\AGM\19975AB13.DOCX"/>
    <w:docVar w:name="dvBillNumber" w:val="3994"/>
    <w:docVar w:name="dvBillNumberPrefix" w:val="H. "/>
    <w:docVar w:name="dvOriginalBody" w:val="House"/>
    <w:docVar w:name="dvSteno" w:val="AGM"/>
    <w:docVar w:name="NameofBody" w:val="h"/>
    <w:docVar w:name="vgroup2" w:val="Council"/>
  </w:docVars>
  <w:rsids>
    <w:rsidRoot w:val="00186840"/>
    <w:rsid w:val="00011869"/>
    <w:rsid w:val="00013BD8"/>
    <w:rsid w:val="00020DFC"/>
    <w:rsid w:val="000345F5"/>
    <w:rsid w:val="00063D54"/>
    <w:rsid w:val="00093F8F"/>
    <w:rsid w:val="000A3057"/>
    <w:rsid w:val="000B5FE7"/>
    <w:rsid w:val="000C4995"/>
    <w:rsid w:val="000E0CBF"/>
    <w:rsid w:val="000E1785"/>
    <w:rsid w:val="000F40FA"/>
    <w:rsid w:val="0010776B"/>
    <w:rsid w:val="00133E66"/>
    <w:rsid w:val="0013454E"/>
    <w:rsid w:val="00140FC5"/>
    <w:rsid w:val="001435A3"/>
    <w:rsid w:val="00146F6F"/>
    <w:rsid w:val="00186840"/>
    <w:rsid w:val="001A427E"/>
    <w:rsid w:val="001D08F2"/>
    <w:rsid w:val="001D525B"/>
    <w:rsid w:val="001D7F4F"/>
    <w:rsid w:val="001F4BE1"/>
    <w:rsid w:val="002077FD"/>
    <w:rsid w:val="002321B6"/>
    <w:rsid w:val="00250967"/>
    <w:rsid w:val="002543C8"/>
    <w:rsid w:val="00284AAE"/>
    <w:rsid w:val="002E5912"/>
    <w:rsid w:val="00301B21"/>
    <w:rsid w:val="00314AA4"/>
    <w:rsid w:val="00325348"/>
    <w:rsid w:val="0032732C"/>
    <w:rsid w:val="00336AD0"/>
    <w:rsid w:val="0037079A"/>
    <w:rsid w:val="003D01E8"/>
    <w:rsid w:val="003E5288"/>
    <w:rsid w:val="003F041B"/>
    <w:rsid w:val="003F2661"/>
    <w:rsid w:val="003F6D79"/>
    <w:rsid w:val="004132CA"/>
    <w:rsid w:val="0041760A"/>
    <w:rsid w:val="00417C01"/>
    <w:rsid w:val="00427762"/>
    <w:rsid w:val="004456CB"/>
    <w:rsid w:val="00464D69"/>
    <w:rsid w:val="004809EE"/>
    <w:rsid w:val="00487AEE"/>
    <w:rsid w:val="004B2FAA"/>
    <w:rsid w:val="004E7D54"/>
    <w:rsid w:val="004F1BEA"/>
    <w:rsid w:val="005273C6"/>
    <w:rsid w:val="00530A69"/>
    <w:rsid w:val="005409CC"/>
    <w:rsid w:val="00545593"/>
    <w:rsid w:val="00555624"/>
    <w:rsid w:val="00577C6C"/>
    <w:rsid w:val="005C2FE2"/>
    <w:rsid w:val="005D3251"/>
    <w:rsid w:val="005D521A"/>
    <w:rsid w:val="005E2BC9"/>
    <w:rsid w:val="00605102"/>
    <w:rsid w:val="006215AA"/>
    <w:rsid w:val="00641D1F"/>
    <w:rsid w:val="006913C9"/>
    <w:rsid w:val="0069470D"/>
    <w:rsid w:val="0069676D"/>
    <w:rsid w:val="006A14AC"/>
    <w:rsid w:val="007255D3"/>
    <w:rsid w:val="00725EBC"/>
    <w:rsid w:val="00734F00"/>
    <w:rsid w:val="00745CA3"/>
    <w:rsid w:val="007A39F8"/>
    <w:rsid w:val="007A5BB5"/>
    <w:rsid w:val="007A70AE"/>
    <w:rsid w:val="00803FCB"/>
    <w:rsid w:val="008362E8"/>
    <w:rsid w:val="00877358"/>
    <w:rsid w:val="008A1768"/>
    <w:rsid w:val="008A193E"/>
    <w:rsid w:val="008C3F28"/>
    <w:rsid w:val="008C5ECC"/>
    <w:rsid w:val="008D2AAA"/>
    <w:rsid w:val="008D377B"/>
    <w:rsid w:val="008F0F33"/>
    <w:rsid w:val="008F4429"/>
    <w:rsid w:val="00913BBB"/>
    <w:rsid w:val="0094021A"/>
    <w:rsid w:val="00993C0F"/>
    <w:rsid w:val="009A0A98"/>
    <w:rsid w:val="009A10BF"/>
    <w:rsid w:val="009B44AF"/>
    <w:rsid w:val="009C6A0B"/>
    <w:rsid w:val="009D5351"/>
    <w:rsid w:val="009F0C77"/>
    <w:rsid w:val="009F4DD1"/>
    <w:rsid w:val="00A36A0A"/>
    <w:rsid w:val="00A41684"/>
    <w:rsid w:val="00A64E80"/>
    <w:rsid w:val="00A72BCD"/>
    <w:rsid w:val="00A741D9"/>
    <w:rsid w:val="00A833AB"/>
    <w:rsid w:val="00A9741D"/>
    <w:rsid w:val="00AB114C"/>
    <w:rsid w:val="00AB1177"/>
    <w:rsid w:val="00AD4B17"/>
    <w:rsid w:val="00AF449D"/>
    <w:rsid w:val="00B412D4"/>
    <w:rsid w:val="00BD4A53"/>
    <w:rsid w:val="00BE3C22"/>
    <w:rsid w:val="00C0345E"/>
    <w:rsid w:val="00C3483A"/>
    <w:rsid w:val="00C575DF"/>
    <w:rsid w:val="00C74E9D"/>
    <w:rsid w:val="00C81EE3"/>
    <w:rsid w:val="00C82FD3"/>
    <w:rsid w:val="00C92819"/>
    <w:rsid w:val="00C97C82"/>
    <w:rsid w:val="00CA6909"/>
    <w:rsid w:val="00CA7F3F"/>
    <w:rsid w:val="00CC0353"/>
    <w:rsid w:val="00CC6B7B"/>
    <w:rsid w:val="00CD2089"/>
    <w:rsid w:val="00D36FCE"/>
    <w:rsid w:val="00D71A98"/>
    <w:rsid w:val="00D73A67"/>
    <w:rsid w:val="00D75911"/>
    <w:rsid w:val="00D970A9"/>
    <w:rsid w:val="00DF3845"/>
    <w:rsid w:val="00E03639"/>
    <w:rsid w:val="00E07614"/>
    <w:rsid w:val="00E07D7F"/>
    <w:rsid w:val="00E159B3"/>
    <w:rsid w:val="00E41911"/>
    <w:rsid w:val="00E47D78"/>
    <w:rsid w:val="00E647D2"/>
    <w:rsid w:val="00E737AB"/>
    <w:rsid w:val="00E92EEF"/>
    <w:rsid w:val="00E9330D"/>
    <w:rsid w:val="00EC0572"/>
    <w:rsid w:val="00EC68E9"/>
    <w:rsid w:val="00EF5FFE"/>
    <w:rsid w:val="00F24442"/>
    <w:rsid w:val="00F50AE3"/>
    <w:rsid w:val="00F67CF1"/>
    <w:rsid w:val="00F840F0"/>
    <w:rsid w:val="00FB0D0D"/>
    <w:rsid w:val="00FB43B4"/>
    <w:rsid w:val="00FE6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1B2400-D019-485B-9D2A-3063891D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5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31513">
      <w:bodyDiv w:val="1"/>
      <w:marLeft w:val="0"/>
      <w:marRight w:val="0"/>
      <w:marTop w:val="0"/>
      <w:marBottom w:val="0"/>
      <w:divBdr>
        <w:top w:val="none" w:sz="0" w:space="0" w:color="auto"/>
        <w:left w:val="none" w:sz="0" w:space="0" w:color="auto"/>
        <w:bottom w:val="none" w:sz="0" w:space="0" w:color="auto"/>
        <w:right w:val="none" w:sz="0" w:space="0" w:color="auto"/>
      </w:divBdr>
    </w:div>
    <w:div w:id="5978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13" Type="http://schemas.openxmlformats.org/officeDocument/2006/relationships/hyperlink" Target="file:///H:\HJ%20Archive\2014\04-10-14.docx" TargetMode="External"/><Relationship Id="rId18" Type="http://schemas.openxmlformats.org/officeDocument/2006/relationships/hyperlink" Target="file:///H:\SJ%20Archive\2014\04-15-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994_20140326.docx" TargetMode="External"/><Relationship Id="rId7" Type="http://schemas.openxmlformats.org/officeDocument/2006/relationships/hyperlink" Target="file:///H:\HJ%20Archive\2013\04-18-13.docx" TargetMode="External"/><Relationship Id="rId12" Type="http://schemas.openxmlformats.org/officeDocument/2006/relationships/hyperlink" Target="file:///H:\HJ%20Archive\2014\04-10-14.docx" TargetMode="External"/><Relationship Id="rId17" Type="http://schemas.openxmlformats.org/officeDocument/2006/relationships/hyperlink" Target="file:///H:\SJ%20Archive\2014\04-15-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4-11-14.docx" TargetMode="External"/><Relationship Id="rId20" Type="http://schemas.openxmlformats.org/officeDocument/2006/relationships/hyperlink" Target="file:///p:\pprever\2013-14\3994_201403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2-14.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footer" Target="footer1.xml"/><Relationship Id="rId10" Type="http://schemas.openxmlformats.org/officeDocument/2006/relationships/hyperlink" Target="file:///H:\HJ%20Archive\2014\03-27-14.docx" TargetMode="External"/><Relationship Id="rId19" Type="http://schemas.openxmlformats.org/officeDocument/2006/relationships/hyperlink" Target="file:///p:\pprever\2013-14\3994_20130418.docx" TargetMode="External"/><Relationship Id="rId4" Type="http://schemas.openxmlformats.org/officeDocument/2006/relationships/webSettings" Target="webSettings.xml"/><Relationship Id="rId9" Type="http://schemas.openxmlformats.org/officeDocument/2006/relationships/hyperlink" Target="file:///H:\HJ%20Archive\2014\03-25-14.docx" TargetMode="External"/><Relationship Id="rId14" Type="http://schemas.openxmlformats.org/officeDocument/2006/relationships/hyperlink" Target="file:///H:\HJ%20Archive\2014\04-10-14.docx" TargetMode="External"/><Relationship Id="rId22" Type="http://schemas.openxmlformats.org/officeDocument/2006/relationships/hyperlink" Target="file:///p:\pprever\2013-14\3994_2014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52C45-3918-4DA0-B282-859458FF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6640</Words>
  <Characters>37848</Characters>
  <Application>Microsoft Office Word</Application>
  <DocSecurity>0</DocSecurity>
  <Lines>315</Lines>
  <Paragraphs>88</Paragraphs>
  <ScaleCrop>false</ScaleCrop>
  <Company>LPITS</Company>
  <LinksUpToDate>false</LinksUpToDate>
  <CharactersWithSpaces>44400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3994: Read To Succeed Act - South Carolina Legislature Online</dc:title>
  <dc:creator>angiemorgan</dc:creator>
  <cp:lastModifiedBy>N Cumfer</cp:lastModifiedBy>
  <cp:revision>9</cp:revision>
  <cp:lastPrinted>2013-04-18T15:20:00Z</cp:lastPrinted>
  <dcterms:created xsi:type="dcterms:W3CDTF">2014-04-10T20:35:00Z</dcterms:created>
  <dcterms:modified xsi:type="dcterms:W3CDTF">2014-12-05T16:48:00Z</dcterms:modified>
</cp:coreProperties>
</file>