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247" w:rsidRDefault="00122247" w:rsidP="00122247">
      <w:pPr>
        <w:widowControl w:val="0"/>
        <w:jc w:val="center"/>
      </w:pPr>
      <w:r w:rsidRPr="00122247">
        <w:rPr>
          <w:b/>
        </w:rPr>
        <w:t>South Carolina General Assembly</w:t>
      </w:r>
    </w:p>
    <w:p w:rsidR="00122247" w:rsidRDefault="00122247" w:rsidP="00122247">
      <w:pPr>
        <w:widowControl w:val="0"/>
        <w:jc w:val="center"/>
      </w:pPr>
      <w:r>
        <w:t>120th Session, 2013-2014</w:t>
      </w:r>
    </w:p>
    <w:p w:rsidR="00122247" w:rsidRDefault="00122247" w:rsidP="00122247">
      <w:pPr>
        <w:widowControl w:val="0"/>
      </w:pPr>
    </w:p>
    <w:p w:rsidR="00122247" w:rsidRDefault="00122247" w:rsidP="00122247">
      <w:pPr>
        <w:widowControl w:val="0"/>
        <w:rPr>
          <w:b/>
        </w:rPr>
      </w:pPr>
      <w:r w:rsidRPr="00122247">
        <w:rPr>
          <w:b/>
        </w:rPr>
        <w:t>S.</w:t>
      </w:r>
      <w:r>
        <w:rPr>
          <w:b/>
        </w:rPr>
        <w:t xml:space="preserve"> </w:t>
      </w:r>
      <w:r w:rsidRPr="00122247">
        <w:rPr>
          <w:b/>
        </w:rPr>
        <w:t>412</w:t>
      </w:r>
    </w:p>
    <w:p w:rsidR="00122247" w:rsidRDefault="00122247" w:rsidP="00122247">
      <w:pPr>
        <w:widowControl w:val="0"/>
        <w:rPr>
          <w:b/>
        </w:rPr>
      </w:pPr>
    </w:p>
    <w:p w:rsidR="00122247" w:rsidRDefault="00122247" w:rsidP="00122247">
      <w:pPr>
        <w:widowControl w:val="0"/>
      </w:pPr>
      <w:r w:rsidRPr="00122247">
        <w:rPr>
          <w:b/>
        </w:rPr>
        <w:t>STATUS INFORMATION</w:t>
      </w:r>
    </w:p>
    <w:p w:rsidR="00122247" w:rsidRDefault="00122247" w:rsidP="00122247">
      <w:pPr>
        <w:widowControl w:val="0"/>
      </w:pPr>
    </w:p>
    <w:p w:rsidR="00122247" w:rsidRDefault="00122247" w:rsidP="00122247">
      <w:pPr>
        <w:widowControl w:val="0"/>
      </w:pPr>
      <w:r>
        <w:t>General Bill</w:t>
      </w:r>
    </w:p>
    <w:p w:rsidR="00122247" w:rsidRDefault="00122247" w:rsidP="00122247">
      <w:pPr>
        <w:widowControl w:val="0"/>
      </w:pPr>
      <w:r>
        <w:t>Sponsors: Senators Thurmond, Lourie, Hayes, McElveen, Turner and Rankin</w:t>
      </w:r>
    </w:p>
    <w:p w:rsidR="00122247" w:rsidRDefault="00122247" w:rsidP="00122247">
      <w:pPr>
        <w:widowControl w:val="0"/>
      </w:pPr>
      <w:r>
        <w:t>Document Path: l:\s-res\pt\004repo.mrh.pt.docx</w:t>
      </w:r>
    </w:p>
    <w:p w:rsidR="00122247" w:rsidRDefault="00122247" w:rsidP="00122247">
      <w:pPr>
        <w:widowControl w:val="0"/>
      </w:pPr>
    </w:p>
    <w:p w:rsidR="00CA120D" w:rsidRDefault="00CA120D" w:rsidP="00122247">
      <w:pPr>
        <w:widowControl w:val="0"/>
      </w:pPr>
      <w:r>
        <w:t>Introduced in the Senate on February 20, 2013</w:t>
      </w:r>
    </w:p>
    <w:p w:rsidR="00CA120D" w:rsidRDefault="00CA120D" w:rsidP="00122247">
      <w:pPr>
        <w:widowControl w:val="0"/>
      </w:pPr>
      <w:r>
        <w:t>Last Amended on April 30, 2013</w:t>
      </w:r>
    </w:p>
    <w:p w:rsidR="00CA120D" w:rsidRDefault="00CA120D" w:rsidP="00122247">
      <w:pPr>
        <w:widowControl w:val="0"/>
      </w:pPr>
      <w:r>
        <w:t>Currently residing in the Senate</w:t>
      </w:r>
    </w:p>
    <w:p w:rsidR="00CA120D" w:rsidRDefault="00CA120D" w:rsidP="00122247">
      <w:pPr>
        <w:widowControl w:val="0"/>
      </w:pPr>
    </w:p>
    <w:p w:rsidR="00122247" w:rsidRDefault="00122247" w:rsidP="00122247">
      <w:pPr>
        <w:widowControl w:val="0"/>
      </w:pPr>
      <w:r>
        <w:t xml:space="preserve">Summary: </w:t>
      </w:r>
      <w:r w:rsidR="00037B9D">
        <w:t>Certified campaign reports</w:t>
      </w:r>
    </w:p>
    <w:p w:rsidR="00122247" w:rsidRDefault="00122247" w:rsidP="00122247">
      <w:pPr>
        <w:widowControl w:val="0"/>
      </w:pPr>
    </w:p>
    <w:p w:rsidR="00122247" w:rsidRDefault="00122247" w:rsidP="00122247">
      <w:pPr>
        <w:widowControl w:val="0"/>
      </w:pPr>
    </w:p>
    <w:p w:rsidR="00122247" w:rsidRDefault="00122247" w:rsidP="00122247">
      <w:pPr>
        <w:widowControl w:val="0"/>
        <w:tabs>
          <w:tab w:val="center" w:pos="590"/>
          <w:tab w:val="center" w:pos="1440"/>
          <w:tab w:val="left" w:pos="1872"/>
          <w:tab w:val="left" w:pos="9187"/>
        </w:tabs>
      </w:pPr>
      <w:r w:rsidRPr="00122247">
        <w:rPr>
          <w:b/>
        </w:rPr>
        <w:t>HISTORY OF LEGISLATIVE ACTIONS</w:t>
      </w:r>
    </w:p>
    <w:p w:rsidR="00122247" w:rsidRDefault="00122247" w:rsidP="00122247">
      <w:pPr>
        <w:widowControl w:val="0"/>
        <w:tabs>
          <w:tab w:val="center" w:pos="590"/>
          <w:tab w:val="center" w:pos="1440"/>
          <w:tab w:val="left" w:pos="1872"/>
          <w:tab w:val="left" w:pos="9187"/>
        </w:tabs>
      </w:pPr>
    </w:p>
    <w:p w:rsidR="00122247" w:rsidRPr="00122247" w:rsidRDefault="00122247" w:rsidP="00122247">
      <w:pPr>
        <w:widowControl w:val="0"/>
        <w:tabs>
          <w:tab w:val="center" w:pos="590"/>
          <w:tab w:val="center" w:pos="1440"/>
          <w:tab w:val="left" w:pos="1872"/>
          <w:tab w:val="left" w:pos="9187"/>
        </w:tabs>
      </w:pPr>
      <w:r w:rsidRPr="00122247">
        <w:rPr>
          <w:u w:val="single"/>
        </w:rPr>
        <w:tab/>
        <w:t>Date</w:t>
      </w:r>
      <w:r w:rsidRPr="00122247">
        <w:rPr>
          <w:u w:val="single"/>
        </w:rPr>
        <w:tab/>
        <w:t>Body</w:t>
      </w:r>
      <w:r w:rsidRPr="00122247">
        <w:rPr>
          <w:u w:val="single"/>
        </w:rPr>
        <w:tab/>
        <w:t>Action Description with journal page number</w:t>
      </w:r>
      <w:r w:rsidRPr="00122247">
        <w:rPr>
          <w:u w:val="single"/>
        </w:rPr>
        <w:tab/>
      </w:r>
      <w:bookmarkStart w:id="0" w:name="_GoBack"/>
      <w:bookmarkEnd w:id="0"/>
    </w:p>
    <w:p w:rsidR="007438E0" w:rsidRDefault="007438E0" w:rsidP="007438E0">
      <w:pPr>
        <w:widowControl w:val="0"/>
        <w:tabs>
          <w:tab w:val="right" w:pos="1008"/>
          <w:tab w:val="left" w:pos="1152"/>
          <w:tab w:val="left" w:pos="1872"/>
          <w:tab w:val="left" w:pos="9187"/>
        </w:tabs>
        <w:ind w:left="2088" w:hanging="2088"/>
      </w:pPr>
      <w:r>
        <w:tab/>
        <w:t>2/20/2013</w:t>
      </w:r>
      <w:r>
        <w:tab/>
        <w:t>Senate</w:t>
      </w:r>
      <w:r>
        <w:tab/>
      </w:r>
      <w:r w:rsidRPr="00AF04CE">
        <w:t>Introduced and read first time (</w:t>
      </w:r>
      <w:hyperlink r:id="rId6" w:history="1">
        <w:r w:rsidRPr="00AF04CE">
          <w:rPr>
            <w:rStyle w:val="Hyperlink"/>
          </w:rPr>
          <w:t>Senate Journal</w:t>
        </w:r>
        <w:r w:rsidRPr="00AF04CE">
          <w:rPr>
            <w:rStyle w:val="Hyperlink"/>
          </w:rPr>
          <w:noBreakHyphen/>
          <w:t>page 20</w:t>
        </w:r>
      </w:hyperlink>
      <w:r w:rsidRPr="00AF04CE">
        <w:t>)</w:t>
      </w:r>
    </w:p>
    <w:p w:rsidR="007438E0" w:rsidRDefault="007438E0" w:rsidP="007438E0">
      <w:pPr>
        <w:widowControl w:val="0"/>
        <w:tabs>
          <w:tab w:val="right" w:pos="1008"/>
          <w:tab w:val="left" w:pos="1152"/>
          <w:tab w:val="left" w:pos="1872"/>
          <w:tab w:val="left" w:pos="9187"/>
        </w:tabs>
        <w:ind w:left="2088" w:hanging="2088"/>
      </w:pPr>
      <w:r>
        <w:tab/>
        <w:t>2/20/2013</w:t>
      </w:r>
      <w:r>
        <w:tab/>
        <w:t>Senate</w:t>
      </w:r>
      <w:r>
        <w:tab/>
      </w:r>
      <w:r w:rsidRPr="00AF04CE">
        <w:t>Ref</w:t>
      </w:r>
      <w:r>
        <w:t xml:space="preserve">erred to Committee on </w:t>
      </w:r>
      <w:r w:rsidRPr="00AF04CE">
        <w:rPr>
          <w:b/>
        </w:rPr>
        <w:t>Judiciary</w:t>
      </w:r>
      <w:r>
        <w:t xml:space="preserve"> </w:t>
      </w:r>
      <w:r w:rsidRPr="00AF04CE">
        <w:t>(</w:t>
      </w:r>
      <w:hyperlink r:id="rId7" w:history="1">
        <w:r w:rsidRPr="00AF04CE">
          <w:rPr>
            <w:rStyle w:val="Hyperlink"/>
          </w:rPr>
          <w:t>Senate Journal</w:t>
        </w:r>
        <w:r w:rsidRPr="00AF04CE">
          <w:rPr>
            <w:rStyle w:val="Hyperlink"/>
          </w:rPr>
          <w:noBreakHyphen/>
          <w:t>page 20</w:t>
        </w:r>
      </w:hyperlink>
      <w:r w:rsidRPr="00AF04CE">
        <w:t>)</w:t>
      </w:r>
    </w:p>
    <w:p w:rsidR="007438E0" w:rsidRDefault="007438E0" w:rsidP="007438E0">
      <w:pPr>
        <w:widowControl w:val="0"/>
        <w:tabs>
          <w:tab w:val="right" w:pos="1008"/>
          <w:tab w:val="left" w:pos="1152"/>
          <w:tab w:val="left" w:pos="1872"/>
          <w:tab w:val="left" w:pos="9187"/>
        </w:tabs>
        <w:ind w:left="2088" w:hanging="2088"/>
      </w:pPr>
      <w:r>
        <w:tab/>
        <w:t>2/22/2013</w:t>
      </w:r>
      <w:r>
        <w:tab/>
        <w:t>Senate</w:t>
      </w:r>
      <w:r>
        <w:tab/>
      </w:r>
      <w:r w:rsidRPr="00AF04CE">
        <w:t>Referred to Su</w:t>
      </w:r>
      <w:r>
        <w:t xml:space="preserve">bcommittee: Rankin (ch), Hutto, </w:t>
      </w:r>
      <w:r w:rsidRPr="00AF04CE">
        <w:t>Malloy, Campsen, Massey</w:t>
      </w:r>
    </w:p>
    <w:p w:rsidR="007438E0" w:rsidRDefault="007438E0" w:rsidP="007438E0">
      <w:pPr>
        <w:widowControl w:val="0"/>
        <w:tabs>
          <w:tab w:val="right" w:pos="1008"/>
          <w:tab w:val="left" w:pos="1152"/>
          <w:tab w:val="left" w:pos="1872"/>
          <w:tab w:val="left" w:pos="9187"/>
        </w:tabs>
        <w:ind w:left="2088" w:hanging="2088"/>
      </w:pPr>
      <w:r>
        <w:tab/>
        <w:t>4/24/2013</w:t>
      </w:r>
      <w:r>
        <w:tab/>
        <w:t>Senate</w:t>
      </w:r>
      <w:r>
        <w:tab/>
      </w:r>
      <w:r w:rsidRPr="00AF04CE">
        <w:t xml:space="preserve">Committee report: </w:t>
      </w:r>
      <w:r>
        <w:t xml:space="preserve">Majority favorable with amend., </w:t>
      </w:r>
      <w:r w:rsidRPr="00AF04CE">
        <w:t xml:space="preserve">minority unfavorable </w:t>
      </w:r>
      <w:r w:rsidRPr="00AF04CE">
        <w:rPr>
          <w:b/>
        </w:rPr>
        <w:t>Judiciary</w:t>
      </w:r>
      <w:r w:rsidRPr="00AF04CE">
        <w:t xml:space="preserve"> (</w:t>
      </w:r>
      <w:hyperlink r:id="rId8" w:history="1">
        <w:r w:rsidRPr="00AF04CE">
          <w:rPr>
            <w:rStyle w:val="Hyperlink"/>
          </w:rPr>
          <w:t>Senate Journal</w:t>
        </w:r>
        <w:r w:rsidRPr="00AF04CE">
          <w:rPr>
            <w:rStyle w:val="Hyperlink"/>
          </w:rPr>
          <w:noBreakHyphen/>
          <w:t>page 9</w:t>
        </w:r>
      </w:hyperlink>
      <w:r w:rsidRPr="00AF04CE">
        <w:t>)</w:t>
      </w:r>
    </w:p>
    <w:p w:rsidR="007438E0" w:rsidRDefault="007438E0" w:rsidP="007438E0">
      <w:pPr>
        <w:widowControl w:val="0"/>
        <w:tabs>
          <w:tab w:val="right" w:pos="1008"/>
          <w:tab w:val="left" w:pos="1152"/>
          <w:tab w:val="left" w:pos="1872"/>
          <w:tab w:val="left" w:pos="9187"/>
        </w:tabs>
        <w:ind w:left="2088" w:hanging="2088"/>
      </w:pPr>
      <w:r>
        <w:tab/>
        <w:t>4/30/2013</w:t>
      </w:r>
      <w:r>
        <w:tab/>
        <w:t>Senate</w:t>
      </w:r>
      <w:r>
        <w:tab/>
      </w:r>
      <w:r w:rsidRPr="00AF04CE">
        <w:t>Committee Amendment Adopted (</w:t>
      </w:r>
      <w:hyperlink r:id="rId9" w:history="1">
        <w:r w:rsidRPr="00AF04CE">
          <w:rPr>
            <w:rStyle w:val="Hyperlink"/>
          </w:rPr>
          <w:t>Senate Journal</w:t>
        </w:r>
        <w:r w:rsidRPr="00AF04CE">
          <w:rPr>
            <w:rStyle w:val="Hyperlink"/>
          </w:rPr>
          <w:noBreakHyphen/>
          <w:t>page 42</w:t>
        </w:r>
      </w:hyperlink>
      <w:r w:rsidRPr="00AF04CE">
        <w:t>)</w:t>
      </w:r>
    </w:p>
    <w:p w:rsidR="007438E0" w:rsidRDefault="007438E0" w:rsidP="007438E0">
      <w:pPr>
        <w:widowControl w:val="0"/>
        <w:tabs>
          <w:tab w:val="right" w:pos="1008"/>
          <w:tab w:val="left" w:pos="1152"/>
          <w:tab w:val="left" w:pos="1872"/>
          <w:tab w:val="left" w:pos="9187"/>
        </w:tabs>
        <w:ind w:left="2088" w:hanging="2088"/>
      </w:pPr>
      <w:r>
        <w:tab/>
        <w:t>4/30/2013</w:t>
      </w:r>
      <w:r>
        <w:tab/>
        <w:t>Senate</w:t>
      </w:r>
      <w:r>
        <w:tab/>
      </w:r>
      <w:r w:rsidRPr="00AF04CE">
        <w:t>Amended (</w:t>
      </w:r>
      <w:hyperlink r:id="rId10" w:history="1">
        <w:r w:rsidRPr="00AF04CE">
          <w:rPr>
            <w:rStyle w:val="Hyperlink"/>
          </w:rPr>
          <w:t>Senate Journal</w:t>
        </w:r>
        <w:r w:rsidRPr="00AF04CE">
          <w:rPr>
            <w:rStyle w:val="Hyperlink"/>
          </w:rPr>
          <w:noBreakHyphen/>
          <w:t>page 42</w:t>
        </w:r>
      </w:hyperlink>
      <w:r w:rsidRPr="00AF04CE">
        <w:t>)</w:t>
      </w:r>
    </w:p>
    <w:p w:rsidR="007438E0" w:rsidRDefault="007438E0" w:rsidP="007438E0">
      <w:pPr>
        <w:widowControl w:val="0"/>
        <w:tabs>
          <w:tab w:val="right" w:pos="1008"/>
          <w:tab w:val="left" w:pos="1152"/>
          <w:tab w:val="left" w:pos="1872"/>
          <w:tab w:val="left" w:pos="9187"/>
        </w:tabs>
        <w:ind w:left="2088" w:hanging="2088"/>
      </w:pPr>
      <w:r>
        <w:tab/>
        <w:t>4/30/2013</w:t>
      </w:r>
      <w:r>
        <w:tab/>
        <w:t>Senate</w:t>
      </w:r>
      <w:r>
        <w:tab/>
      </w:r>
      <w:r w:rsidRPr="00AF04CE">
        <w:t>Read second time (</w:t>
      </w:r>
      <w:hyperlink r:id="rId11" w:history="1">
        <w:r w:rsidRPr="00AF04CE">
          <w:rPr>
            <w:rStyle w:val="Hyperlink"/>
          </w:rPr>
          <w:t>Senate Journal</w:t>
        </w:r>
        <w:r w:rsidRPr="00AF04CE">
          <w:rPr>
            <w:rStyle w:val="Hyperlink"/>
          </w:rPr>
          <w:noBreakHyphen/>
          <w:t>page 42</w:t>
        </w:r>
      </w:hyperlink>
      <w:r w:rsidRPr="00AF04CE">
        <w:t>)</w:t>
      </w:r>
    </w:p>
    <w:p w:rsidR="007438E0" w:rsidRDefault="007438E0" w:rsidP="007438E0">
      <w:pPr>
        <w:widowControl w:val="0"/>
        <w:tabs>
          <w:tab w:val="right" w:pos="1008"/>
          <w:tab w:val="left" w:pos="1152"/>
          <w:tab w:val="left" w:pos="1872"/>
          <w:tab w:val="left" w:pos="9187"/>
        </w:tabs>
        <w:ind w:left="2088" w:hanging="2088"/>
      </w:pPr>
      <w:r>
        <w:tab/>
        <w:t>4/30/2013</w:t>
      </w:r>
      <w:r>
        <w:tab/>
        <w:t>Senate</w:t>
      </w:r>
      <w:r>
        <w:tab/>
      </w:r>
      <w:r w:rsidRPr="00AF04CE">
        <w:t>Roll call Ayes</w:t>
      </w:r>
      <w:r>
        <w:noBreakHyphen/>
      </w:r>
      <w:r w:rsidRPr="00AF04CE">
        <w:t>41  Nays</w:t>
      </w:r>
      <w:r>
        <w:noBreakHyphen/>
      </w:r>
      <w:r w:rsidRPr="00AF04CE">
        <w:t>1 (</w:t>
      </w:r>
      <w:hyperlink r:id="rId12" w:history="1">
        <w:r w:rsidRPr="00AF04CE">
          <w:rPr>
            <w:rStyle w:val="Hyperlink"/>
          </w:rPr>
          <w:t>Senate Journal</w:t>
        </w:r>
        <w:r w:rsidRPr="00AF04CE">
          <w:rPr>
            <w:rStyle w:val="Hyperlink"/>
          </w:rPr>
          <w:noBreakHyphen/>
          <w:t>page 42</w:t>
        </w:r>
      </w:hyperlink>
      <w:r w:rsidRPr="00AF04CE">
        <w:t>)</w:t>
      </w:r>
    </w:p>
    <w:p w:rsidR="007438E0" w:rsidRDefault="007438E0" w:rsidP="007438E0">
      <w:pPr>
        <w:widowControl w:val="0"/>
        <w:tabs>
          <w:tab w:val="right" w:pos="1008"/>
          <w:tab w:val="left" w:pos="1152"/>
          <w:tab w:val="left" w:pos="1872"/>
          <w:tab w:val="left" w:pos="9187"/>
        </w:tabs>
        <w:ind w:left="2088" w:hanging="2088"/>
      </w:pPr>
      <w:r>
        <w:tab/>
        <w:t>5/1/2013</w:t>
      </w:r>
      <w:r>
        <w:tab/>
      </w:r>
      <w:r>
        <w:tab/>
      </w:r>
      <w:r w:rsidRPr="00AF04CE">
        <w:t>Scrivener's error corrected</w:t>
      </w:r>
    </w:p>
    <w:p w:rsidR="007438E0" w:rsidRDefault="007438E0" w:rsidP="007438E0">
      <w:pPr>
        <w:widowControl w:val="0"/>
        <w:tabs>
          <w:tab w:val="right" w:pos="1008"/>
          <w:tab w:val="left" w:pos="1152"/>
          <w:tab w:val="left" w:pos="1872"/>
          <w:tab w:val="left" w:pos="9187"/>
        </w:tabs>
        <w:ind w:left="2088" w:hanging="2088"/>
      </w:pPr>
    </w:p>
    <w:p w:rsidR="00122247" w:rsidRPr="00122247" w:rsidRDefault="00122247" w:rsidP="00122247">
      <w:pPr>
        <w:widowControl w:val="0"/>
        <w:tabs>
          <w:tab w:val="right" w:pos="1008"/>
          <w:tab w:val="left" w:pos="1152"/>
          <w:tab w:val="left" w:pos="1872"/>
          <w:tab w:val="left" w:pos="9187"/>
        </w:tabs>
        <w:ind w:left="2088" w:hanging="2088"/>
      </w:pPr>
    </w:p>
    <w:p w:rsidR="00122247" w:rsidRDefault="00122247" w:rsidP="00122247">
      <w:pPr>
        <w:widowControl w:val="0"/>
      </w:pPr>
      <w:r w:rsidRPr="00122247">
        <w:rPr>
          <w:b/>
        </w:rPr>
        <w:t>VERSIONS OF THIS BILL</w:t>
      </w:r>
    </w:p>
    <w:p w:rsidR="00122247" w:rsidRDefault="00122247" w:rsidP="00122247">
      <w:pPr>
        <w:widowControl w:val="0"/>
      </w:pPr>
    </w:p>
    <w:p w:rsidR="00122247" w:rsidRDefault="00EB5C5F" w:rsidP="00122247">
      <w:pPr>
        <w:widowControl w:val="0"/>
      </w:pPr>
      <w:hyperlink r:id="rId13" w:history="1">
        <w:r w:rsidR="00122247">
          <w:rPr>
            <w:rStyle w:val="Hyperlink"/>
          </w:rPr>
          <w:t>2/20/2013</w:t>
        </w:r>
      </w:hyperlink>
    </w:p>
    <w:p w:rsidR="005B0FF3" w:rsidRDefault="00EB5C5F" w:rsidP="00122247">
      <w:hyperlink r:id="rId14" w:history="1">
        <w:r w:rsidR="005B0FF3" w:rsidRPr="005B0FF3">
          <w:rPr>
            <w:rStyle w:val="Hyperlink"/>
          </w:rPr>
          <w:t>4/24/2013</w:t>
        </w:r>
      </w:hyperlink>
    </w:p>
    <w:p w:rsidR="00175ED9" w:rsidRDefault="00EB5C5F" w:rsidP="00122247">
      <w:hyperlink r:id="rId15" w:history="1">
        <w:r w:rsidR="00175ED9" w:rsidRPr="00175ED9">
          <w:rPr>
            <w:rStyle w:val="Hyperlink"/>
          </w:rPr>
          <w:t>4/30/2013</w:t>
        </w:r>
      </w:hyperlink>
    </w:p>
    <w:p w:rsidR="00515084" w:rsidRDefault="00EB5C5F" w:rsidP="00122247">
      <w:hyperlink r:id="rId16" w:history="1">
        <w:r w:rsidR="00515084" w:rsidRPr="00515084">
          <w:rPr>
            <w:rStyle w:val="Hyperlink"/>
          </w:rPr>
          <w:t>5/1/2013</w:t>
        </w:r>
      </w:hyperlink>
    </w:p>
    <w:p w:rsidR="00122247" w:rsidRDefault="00122247" w:rsidP="00122247"/>
    <w:p w:rsidR="00122247" w:rsidRDefault="00122247" w:rsidP="00122247">
      <w:pPr>
        <w:sectPr w:rsidR="00122247" w:rsidSect="00122247">
          <w:pgSz w:w="12240" w:h="15840" w:code="1"/>
          <w:pgMar w:top="1080" w:right="1440" w:bottom="1080" w:left="1440" w:header="720" w:footer="720" w:gutter="0"/>
          <w:cols w:space="720"/>
          <w:noEndnote/>
          <w:docGrid w:linePitch="360"/>
        </w:sectPr>
      </w:pP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515084" w:rsidRPr="00E226D2"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 2013</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64456E" w:rsidRDefault="00515084" w:rsidP="0064456E">
      <w:pPr>
        <w:tabs>
          <w:tab w:val="right" w:pos="5933"/>
        </w:tabs>
        <w:suppressAutoHyphens/>
        <w:jc w:val="both"/>
        <w:rPr>
          <w:rFonts w:eastAsia="Times New Roman"/>
        </w:rPr>
      </w:pPr>
      <w:r>
        <w:rPr>
          <w:rFonts w:eastAsia="Times New Roman"/>
          <w:b/>
          <w:sz w:val="36"/>
        </w:rPr>
        <w:tab/>
        <w:t>S. 412</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737E5">
        <w:t>Senators Thurmond, Lourie, Hayes, McElveen, Turner and Rankin</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Default="00515084" w:rsidP="0064456E">
      <w:pPr>
        <w:tabs>
          <w:tab w:val="right" w:pos="5933"/>
        </w:tabs>
        <w:suppressAutoHyphens/>
        <w:jc w:val="both"/>
        <w:rPr>
          <w:rFonts w:eastAsia="Times New Roman"/>
        </w:rPr>
      </w:pPr>
      <w:r>
        <w:rPr>
          <w:rFonts w:eastAsia="Times New Roman"/>
        </w:rPr>
        <w:t>S. Printed 4/30/13--S.</w:t>
      </w:r>
      <w:r>
        <w:rPr>
          <w:rFonts w:eastAsia="Times New Roman"/>
        </w:rPr>
        <w:tab/>
        <w:t>[SEC 5/1/13 2:28 PM]</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2013.</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5084" w:rsidSect="00E226D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8F023B"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522C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8-13-1308 OF THE 1976 CODE, RELATING TO THE CONTENTS OF CERTIFIED CAMPAIGN REPORTS OF CANDIDATES AND COMMITTEES, AND TO AMEND SECTION 8-13-1309, RELATING TO THE CONTENTS OF CERTIFIED CAMPAIGN REPORTS OF BALLOT MEASURE COMMITTEES, TO REQUIRE A CANDIDATE OR COMMITTEE OR BALLOT MEASURE COMMITTEE TO ELECTRONICALLY REPORT DURING THE TWENTY DAY PERIOD PRIOR TO AN ELECTION THE RECEIPT OF A CONTRIBUTION FROM A PERSON THAT EXCEEDS TWO HUNDRED FIFTY DOLLARS BY A SINGLE CONTRIBUTION OR WHEN COMBINED WITH ALL OTHER CONTRIBUTIONS MADE DURING THE PERIOD.</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5084" w:rsidRPr="000F62B7"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F62B7">
        <w:rPr>
          <w:rFonts w:eastAsia="Times New Roman"/>
          <w:color w:val="000000" w:themeColor="text1"/>
          <w:u w:color="000000" w:themeColor="text1"/>
        </w:rPr>
        <w:t>Be it enacted by the General Assembly of the State of South Carolina:</w:t>
      </w:r>
    </w:p>
    <w:p w:rsidR="00515084" w:rsidRPr="000F62B7"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C662E0">
        <w:rPr>
          <w:rFonts w:eastAsia="Times New Roman"/>
          <w:snapToGrid w:val="0"/>
        </w:rPr>
        <w:t>SECTION</w:t>
      </w:r>
      <w:r w:rsidRPr="00C662E0">
        <w:rPr>
          <w:rFonts w:eastAsia="Times New Roman"/>
          <w:snapToGrid w:val="0"/>
        </w:rPr>
        <w:tab/>
        <w:t>1.</w:t>
      </w:r>
      <w:r w:rsidRPr="00C662E0">
        <w:rPr>
          <w:rFonts w:eastAsia="Times New Roman"/>
          <w:snapToGrid w:val="0"/>
        </w:rPr>
        <w:tab/>
        <w:t>Section 8-13-1308 of the 1976 Code is amended to read:</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Pr>
          <w:color w:val="000000"/>
        </w:rPr>
        <w:t>“Section 8-13-1308.</w:t>
      </w:r>
      <w:r>
        <w:rPr>
          <w:color w:val="000000"/>
        </w:rPr>
        <w:tab/>
      </w:r>
      <w:r w:rsidRPr="00C662E0">
        <w:rPr>
          <w:color w:val="000000"/>
        </w:rPr>
        <w:t>(A)</w:t>
      </w:r>
      <w:r w:rsidRPr="00C662E0">
        <w:rPr>
          <w:color w:val="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C662E0">
        <w:rPr>
          <w:color w:val="000000"/>
        </w:rPr>
        <w:noBreakHyphen/>
        <w:t>13</w:t>
      </w:r>
      <w:r w:rsidRPr="00C662E0">
        <w:rPr>
          <w:color w:val="000000"/>
        </w:rPr>
        <w:noBreakHyphen/>
        <w:t xml:space="preserve">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(B)</w:t>
      </w:r>
      <w:r w:rsidRPr="00C662E0">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C662E0">
        <w:rPr>
          <w:color w:val="000000"/>
        </w:rPr>
        <w:noBreakHyphen/>
        <w:t>13</w:t>
      </w:r>
      <w:r w:rsidRPr="00C662E0">
        <w:rPr>
          <w:color w:val="000000"/>
        </w:rPr>
        <w:noBreakHyphen/>
        <w:t xml:space="preserve">1370.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 xml:space="preserve">Campaign reports filed by a candidate must be certified by the candidate.  Campaign reports filed by a committee must be certified by a duly authorized officer of the committee.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(D)(1)</w:t>
      </w:r>
      <w:r w:rsidRPr="00C662E0">
        <w:rPr>
          <w:color w:val="000000"/>
        </w:rPr>
        <w:tab/>
        <w:t xml:space="preserve">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(a)</w:t>
      </w:r>
      <w:r w:rsidRPr="00C662E0">
        <w:rPr>
          <w:color w:val="000000"/>
        </w:rPr>
        <w:tab/>
        <w:t xml:space="preserve">ten thousand dollars in the case of a candidate for statewide office;  or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r>
      <w:r w:rsidRPr="00C662E0">
        <w:rPr>
          <w:color w:val="000000"/>
        </w:rPr>
        <w:tab/>
        <w:t>(b)</w:t>
      </w:r>
      <w:r w:rsidRPr="00C662E0">
        <w:rPr>
          <w:color w:val="000000"/>
        </w:rPr>
        <w:tab/>
        <w:t xml:space="preserve">two thousand dollars in the case of a candidate for any other office.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 xml:space="preserve">In the event of a runoff election, candidates or committees are not required to file another campaign report in addition to the reports already required under this section.  However, records must remain open to public inspection upon request between the election and the runoff.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(E)</w:t>
      </w:r>
      <w:r w:rsidRPr="00C662E0">
        <w:rPr>
          <w:color w:val="000000"/>
        </w:rPr>
        <w:tab/>
        <w:t>Notwithstanding the provisions of subsections (B) and (D), if a pre</w:t>
      </w:r>
      <w:r w:rsidRPr="00C662E0">
        <w:rPr>
          <w:color w:val="000000"/>
        </w:rPr>
        <w:noBreakHyphen/>
        <w:t>election campaign report provided for in subsection (D) is required to be filed within thirty days of the end of the prior quarter, a candidate or committee must combine the quarterly report provided for in subsection (B) and the pre</w:t>
      </w:r>
      <w:r w:rsidRPr="00C662E0">
        <w:rPr>
          <w:color w:val="000000"/>
        </w:rPr>
        <w:noBreakHyphen/>
        <w:t xml:space="preserve">election report and file the combined report subject to the provisions of subsection (D) no later than fifteen days before the election.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(F)</w:t>
      </w:r>
      <w:r w:rsidRPr="00C662E0">
        <w:rPr>
          <w:color w:val="000000"/>
        </w:rPr>
        <w:tab/>
      </w:r>
      <w:r w:rsidRPr="00C662E0">
        <w:rPr>
          <w:color w:val="000000"/>
          <w:u w:val="single"/>
        </w:rPr>
        <w:t xml:space="preserve">Five days before an election, a candidate or committee must amend and file the previously filed pre-election certified campaign report required under subsection (D) showing contributions of more than one hundred dollars and expenditures to or by the candidate or committee to that date not previously reported and through the sixth day before the election.  </w:t>
      </w:r>
      <w:r w:rsidRPr="00C662E0">
        <w:rPr>
          <w:color w:val="000000" w:themeColor="text1"/>
          <w:u w:val="single"/>
        </w:rPr>
        <w:t>The report required by this section must be electronically filed and publicly accessible in the manner provided by Section 8</w:t>
      </w:r>
      <w:r w:rsidRPr="00C662E0">
        <w:rPr>
          <w:color w:val="000000" w:themeColor="text1"/>
          <w:u w:val="single"/>
        </w:rPr>
        <w:noBreakHyphen/>
        <w:t>13</w:t>
      </w:r>
      <w:r w:rsidRPr="00C662E0">
        <w:rPr>
          <w:color w:val="000000" w:themeColor="text1"/>
          <w:u w:val="single"/>
        </w:rPr>
        <w:noBreakHyphen/>
        <w:t>365.</w:t>
      </w:r>
      <w:r w:rsidRPr="00C662E0">
        <w:rPr>
          <w:color w:val="000000"/>
        </w:rPr>
        <w:t xml:space="preserve">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(F)</w:t>
      </w:r>
      <w:r w:rsidRPr="00C662E0">
        <w:rPr>
          <w:color w:val="000000"/>
          <w:u w:val="single"/>
        </w:rPr>
        <w:t>(G)</w:t>
      </w:r>
      <w:r w:rsidRPr="00C662E0">
        <w:rPr>
          <w:color w:val="000000"/>
        </w:rPr>
        <w:tab/>
        <w:t xml:space="preserve">Certified campaign reports detailing campaign contributions and expenditures must contain: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 xml:space="preserve">the total of contributions accepted by the candidate or committee;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the name and address of each person making a contribution of more than one hundred dollars and the amount and date of receipt of each contribution;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 xml:space="preserve">the total expenditures made by or on behalf of the candidate or committee;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(4)</w:t>
      </w:r>
      <w:r w:rsidRPr="00C662E0">
        <w:rPr>
          <w:color w:val="000000"/>
        </w:rPr>
        <w:tab/>
        <w:t xml:space="preserve">the name and address of each person to whom an expenditure is made from campaign funds, including the date, amount, purpose, and beneficiary of the expenditure.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(G)</w:t>
      </w:r>
      <w:r w:rsidRPr="00C662E0">
        <w:rPr>
          <w:color w:val="000000"/>
          <w:u w:val="single"/>
        </w:rPr>
        <w:t>(H)</w:t>
      </w:r>
      <w:r w:rsidRPr="00C662E0">
        <w:rPr>
          <w:color w:val="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C662E0">
        <w:rPr>
          <w:strike/>
          <w:color w:val="000000"/>
        </w:rPr>
        <w:t>and</w:t>
      </w:r>
      <w:r w:rsidRPr="00C662E0">
        <w:rPr>
          <w:color w:val="000000"/>
        </w:rPr>
        <w:t xml:space="preserve"> (F), </w:t>
      </w:r>
      <w:r w:rsidRPr="00C662E0">
        <w:rPr>
          <w:color w:val="000000"/>
          <w:u w:val="single"/>
        </w:rPr>
        <w:t>and (G)</w:t>
      </w:r>
      <w:r w:rsidRPr="00C662E0">
        <w:rPr>
          <w:color w:val="000000"/>
        </w:rPr>
        <w:t xml:space="preserve"> of Section 8</w:t>
      </w:r>
      <w:r w:rsidRPr="00C662E0">
        <w:rPr>
          <w:color w:val="000000"/>
        </w:rPr>
        <w:noBreakHyphen/>
        <w:t>13</w:t>
      </w:r>
      <w:r w:rsidRPr="00C662E0">
        <w:rPr>
          <w:color w:val="000000"/>
        </w:rPr>
        <w:noBreakHyphen/>
        <w:t xml:space="preserve">1308 in the same manner as a candidate or committee.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(H)</w:t>
      </w:r>
      <w:r w:rsidRPr="00C662E0">
        <w:rPr>
          <w:color w:val="000000"/>
          <w:u w:val="single"/>
        </w:rPr>
        <w:t>(I)</w:t>
      </w:r>
      <w:r w:rsidRPr="00C662E0">
        <w:rPr>
          <w:color w:val="000000"/>
        </w:rPr>
        <w:tab/>
        <w:t>A committee that solicits contributions pursuant to Section 8</w:t>
      </w:r>
      <w:r w:rsidRPr="00C662E0">
        <w:rPr>
          <w:color w:val="000000"/>
        </w:rPr>
        <w:noBreakHyphen/>
        <w:t>13</w:t>
      </w:r>
      <w:r w:rsidRPr="00C662E0">
        <w:rPr>
          <w:color w:val="000000"/>
        </w:rPr>
        <w:noBreakHyphen/>
        <w:t>1331 must certify compliance with that section on a form prescribed by the State Ethics Commission.”</w:t>
      </w:r>
      <w:r w:rsidRPr="00C662E0">
        <w:rPr>
          <w:color w:val="000000"/>
        </w:rPr>
        <w:tab/>
      </w:r>
      <w:r w:rsidRPr="00C662E0">
        <w:rPr>
          <w:color w:val="000000"/>
        </w:rPr>
        <w:tab/>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themeColor="text1"/>
          <w:u w:color="000000" w:themeColor="text1"/>
        </w:rPr>
        <w:t>SECTION</w:t>
      </w:r>
      <w:r w:rsidRPr="00C662E0">
        <w:rPr>
          <w:color w:val="000000" w:themeColor="text1"/>
          <w:u w:color="000000" w:themeColor="text1"/>
        </w:rPr>
        <w:tab/>
        <w:t>2.</w:t>
      </w:r>
      <w:r w:rsidRPr="00C662E0">
        <w:rPr>
          <w:color w:val="000000" w:themeColor="text1"/>
          <w:u w:color="000000" w:themeColor="text1"/>
        </w:rPr>
        <w:tab/>
        <w:t>Section 8</w:t>
      </w:r>
      <w:r w:rsidRPr="00C662E0">
        <w:rPr>
          <w:color w:val="000000" w:themeColor="text1"/>
          <w:u w:color="000000" w:themeColor="text1"/>
        </w:rPr>
        <w:noBreakHyphen/>
        <w:t>13</w:t>
      </w:r>
      <w:r w:rsidRPr="00C662E0">
        <w:rPr>
          <w:color w:val="000000" w:themeColor="text1"/>
          <w:u w:color="000000" w:themeColor="text1"/>
        </w:rPr>
        <w:noBreakHyphen/>
        <w:t>1309 of the 1976 Code is amended to read:</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w:t>
      </w:r>
      <w:r>
        <w:rPr>
          <w:color w:val="000000"/>
        </w:rPr>
        <w:t>Section 8-13-1309.</w:t>
      </w:r>
      <w:r>
        <w:rPr>
          <w:color w:val="000000"/>
        </w:rPr>
        <w:tab/>
      </w:r>
      <w:r w:rsidRPr="00C662E0">
        <w:rPr>
          <w:color w:val="000000"/>
        </w:rPr>
        <w:t>(A)</w:t>
      </w:r>
      <w:r w:rsidRPr="00C662E0">
        <w:rPr>
          <w:color w:val="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C662E0">
        <w:rPr>
          <w:color w:val="000000"/>
        </w:rPr>
        <w:noBreakHyphen/>
        <w:t>13</w:t>
      </w:r>
      <w:r w:rsidRPr="00C662E0">
        <w:rPr>
          <w:color w:val="000000"/>
        </w:rPr>
        <w:noBreakHyphen/>
        <w:t xml:space="preserve">1304(B) must file an initial certified campaign report within ten days of these initial receipts or expenditures.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(B)</w:t>
      </w:r>
      <w:r w:rsidRPr="00C662E0">
        <w:rPr>
          <w:color w:val="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C662E0">
        <w:rPr>
          <w:color w:val="000000"/>
        </w:rPr>
        <w:noBreakHyphen/>
        <w:t>13</w:t>
      </w:r>
      <w:r w:rsidRPr="00C662E0">
        <w:rPr>
          <w:color w:val="000000"/>
        </w:rPr>
        <w:noBreakHyphen/>
        <w:t xml:space="preserve">1370(C).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(C)</w:t>
      </w:r>
      <w:r w:rsidRPr="00C662E0">
        <w:rPr>
          <w:color w:val="000000"/>
        </w:rPr>
        <w:tab/>
        <w:t xml:space="preserve">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t>(D)</w:t>
      </w:r>
      <w:r w:rsidRPr="00C662E0">
        <w:rPr>
          <w:color w:val="000000"/>
        </w:rPr>
        <w:tab/>
        <w:t>Notwithstanding the provisions of subsections (B) and (C), if a pre</w:t>
      </w:r>
      <w:r w:rsidRPr="00C662E0">
        <w:rPr>
          <w:color w:val="000000"/>
        </w:rPr>
        <w:noBreakHyphen/>
        <w:t>election campaign report provided for in subsection (C) is required to be filed within thirty days of the end of the prior quarter, a ballot measure committee must combine the quarterly report provided for in subsection (B) and the pre</w:t>
      </w:r>
      <w:r w:rsidRPr="00C662E0">
        <w:rPr>
          <w:color w:val="000000"/>
        </w:rPr>
        <w:noBreakHyphen/>
        <w:t xml:space="preserve">election report and file the combined report subject to the provisions of subsection (C) no later than fifteen days before the ballot measure election.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u w:val="single"/>
        </w:rPr>
        <w:t>(E)</w:t>
      </w:r>
      <w:r w:rsidRPr="00C662E0">
        <w:rPr>
          <w:color w:val="000000"/>
        </w:rPr>
        <w:tab/>
      </w:r>
      <w:r w:rsidRPr="00C662E0">
        <w:rPr>
          <w:color w:val="000000"/>
          <w:u w:val="single"/>
        </w:rPr>
        <w:t xml:space="preserve">Five days before a ballot measure election, a ballot measure committee must amend and file the previously filed pre-election certified campaign report required under subsection (C) showing contributions of more than one hundred dollars and expenditures to the committee to that date not previously reported and through the sixth day before the election.  </w:t>
      </w:r>
      <w:r w:rsidRPr="00C662E0">
        <w:rPr>
          <w:color w:val="000000" w:themeColor="text1"/>
          <w:u w:val="single"/>
        </w:rPr>
        <w:t>The report required by this section must be filed electronically and publicly accessible in the manner provided by Section 8-13-365.</w:t>
      </w:r>
      <w:r w:rsidRPr="00C662E0">
        <w:rPr>
          <w:color w:val="000000"/>
        </w:rPr>
        <w:t xml:space="preserve">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strike/>
          <w:color w:val="000000"/>
        </w:rPr>
        <w:t>(E)</w:t>
      </w:r>
      <w:r w:rsidRPr="00C662E0">
        <w:rPr>
          <w:color w:val="000000"/>
          <w:u w:val="single"/>
        </w:rPr>
        <w:t>(F)</w:t>
      </w:r>
      <w:r w:rsidRPr="00C662E0">
        <w:rPr>
          <w:color w:val="000000"/>
        </w:rPr>
        <w:tab/>
        <w:t xml:space="preserve">Certified campaign reports detailing campaign contributions and expenditures must contain: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(1)</w:t>
      </w:r>
      <w:r w:rsidRPr="00C662E0">
        <w:rPr>
          <w:color w:val="000000"/>
        </w:rPr>
        <w:tab/>
        <w:t xml:space="preserve">the total amount of contributions accepted by the ballot measure committee;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(2)</w:t>
      </w:r>
      <w:r w:rsidRPr="00C662E0">
        <w:rPr>
          <w:color w:val="000000"/>
        </w:rPr>
        <w:tab/>
        <w:t xml:space="preserve">the name and address of each person making a contribution of more than one hundred dollars and the amount and date of receipt of each contribution;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C662E0">
        <w:rPr>
          <w:color w:val="000000"/>
        </w:rPr>
        <w:tab/>
      </w:r>
      <w:r w:rsidRPr="00C662E0">
        <w:rPr>
          <w:color w:val="000000"/>
        </w:rPr>
        <w:tab/>
        <w:t>(3)</w:t>
      </w:r>
      <w:r w:rsidRPr="00C662E0">
        <w:rPr>
          <w:color w:val="000000"/>
        </w:rPr>
        <w:tab/>
        <w:t xml:space="preserve">the total amount of expenditures made by or on behalf of the ballot measure committee;  and </w:t>
      </w: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62E0">
        <w:rPr>
          <w:color w:val="000000"/>
        </w:rPr>
        <w:tab/>
      </w:r>
      <w:r w:rsidRPr="00C662E0">
        <w:rPr>
          <w:color w:val="000000"/>
        </w:rPr>
        <w:tab/>
        <w:t>(4)</w:t>
      </w:r>
      <w:r w:rsidRPr="00C662E0">
        <w:rPr>
          <w:color w:val="000000"/>
        </w:rPr>
        <w:tab/>
        <w:t>the name and address of each person to whom an expenditure is made from campaign funds, including the date, amount, purpose, and beneficiary of the expenditure.</w:t>
      </w:r>
      <w:r w:rsidRPr="00C662E0">
        <w:rPr>
          <w:color w:val="000000" w:themeColor="text1"/>
          <w:u w:color="000000" w:themeColor="text1"/>
        </w:rPr>
        <w:t>”</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8-13-1510 of the 1976 Code is amended to read:</w:t>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15084" w:rsidRPr="007709F9"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t>“</w:t>
      </w:r>
      <w:r w:rsidRPr="007709F9">
        <w:rPr>
          <w:color w:val="000000" w:themeColor="text1"/>
          <w:u w:color="000000" w:themeColor="text1"/>
        </w:rPr>
        <w:t>S</w:t>
      </w:r>
      <w:r>
        <w:rPr>
          <w:color w:val="000000" w:themeColor="text1"/>
          <w:u w:color="000000" w:themeColor="text1"/>
        </w:rPr>
        <w:t>ection</w:t>
      </w:r>
      <w:r w:rsidRPr="007709F9">
        <w:rPr>
          <w:color w:val="000000" w:themeColor="text1"/>
          <w:u w:color="000000" w:themeColor="text1"/>
        </w:rPr>
        <w:t xml:space="preserve"> 8</w:t>
      </w:r>
      <w:r w:rsidRPr="007709F9">
        <w:rPr>
          <w:color w:val="000000" w:themeColor="text1"/>
          <w:u w:color="000000" w:themeColor="text1"/>
        </w:rPr>
        <w:noBreakHyphen/>
        <w:t>13</w:t>
      </w:r>
      <w:r w:rsidRPr="007709F9">
        <w:rPr>
          <w:color w:val="000000" w:themeColor="text1"/>
          <w:u w:color="000000" w:themeColor="text1"/>
        </w:rPr>
        <w:noBreakHyphen/>
        <w:t>1510.</w:t>
      </w:r>
      <w:r>
        <w:rPr>
          <w:color w:val="000000" w:themeColor="text1"/>
          <w:u w:color="000000" w:themeColor="text1"/>
        </w:rPr>
        <w:tab/>
        <w:t>(A)</w:t>
      </w:r>
      <w:r>
        <w:rPr>
          <w:color w:val="000000" w:themeColor="text1"/>
          <w:u w:color="000000" w:themeColor="text1"/>
        </w:rPr>
        <w:tab/>
      </w:r>
      <w:r w:rsidRPr="007709F9">
        <w:rPr>
          <w:color w:val="000000" w:themeColor="text1"/>
          <w:u w:color="000000" w:themeColor="text1"/>
        </w:rPr>
        <w:t xml:space="preserve">Except as otherwise specifically provided in this chapter, a person required to file a report or statement under this chapter who files a late statement or report or fails to file a required statement or report must be assessed a civil penalty as follows: </w:t>
      </w:r>
    </w:p>
    <w:p w:rsidR="00515084" w:rsidRPr="007709F9"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709F9">
        <w:rPr>
          <w:color w:val="000000" w:themeColor="text1"/>
          <w:u w:color="000000" w:themeColor="text1"/>
        </w:rPr>
        <w:t xml:space="preserve">a fine of </w:t>
      </w:r>
      <w:r w:rsidRPr="003100EC">
        <w:rPr>
          <w:strike/>
          <w:color w:val="000000" w:themeColor="text1"/>
          <w:u w:color="000000" w:themeColor="text1"/>
        </w:rPr>
        <w:t>one hundred</w:t>
      </w:r>
      <w:r w:rsidRPr="007709F9">
        <w:rPr>
          <w:color w:val="000000" w:themeColor="text1"/>
          <w:u w:color="000000" w:themeColor="text1"/>
        </w:rPr>
        <w:t xml:space="preserve"> </w:t>
      </w:r>
      <w:r w:rsidRPr="00061677">
        <w:rPr>
          <w:color w:val="000000" w:themeColor="text1"/>
          <w:u w:val="single"/>
        </w:rPr>
        <w:t>one thousand</w:t>
      </w:r>
      <w:r>
        <w:rPr>
          <w:color w:val="000000" w:themeColor="text1"/>
          <w:u w:color="000000" w:themeColor="text1"/>
        </w:rPr>
        <w:t xml:space="preserve"> </w:t>
      </w:r>
      <w:r w:rsidRPr="007709F9">
        <w:rPr>
          <w:color w:val="000000" w:themeColor="text1"/>
          <w:u w:color="000000" w:themeColor="text1"/>
        </w:rPr>
        <w:t xml:space="preserve">dollars if the statement or report is not filed </w:t>
      </w:r>
      <w:r w:rsidRPr="00061677">
        <w:rPr>
          <w:strike/>
          <w:color w:val="000000" w:themeColor="text1"/>
          <w:u w:color="000000" w:themeColor="text1"/>
        </w:rPr>
        <w:t>within five days after</w:t>
      </w:r>
      <w:r w:rsidRPr="007709F9">
        <w:rPr>
          <w:color w:val="000000" w:themeColor="text1"/>
          <w:u w:color="000000" w:themeColor="text1"/>
        </w:rPr>
        <w:t xml:space="preserve"> </w:t>
      </w:r>
      <w:r w:rsidRPr="00061677">
        <w:rPr>
          <w:color w:val="000000" w:themeColor="text1"/>
          <w:u w:val="single"/>
        </w:rPr>
        <w:t>by</w:t>
      </w:r>
      <w:r>
        <w:rPr>
          <w:color w:val="000000" w:themeColor="text1"/>
          <w:u w:color="000000" w:themeColor="text1"/>
        </w:rPr>
        <w:t xml:space="preserve"> </w:t>
      </w:r>
      <w:r w:rsidRPr="007709F9">
        <w:rPr>
          <w:color w:val="000000" w:themeColor="text1"/>
          <w:u w:color="000000" w:themeColor="text1"/>
        </w:rPr>
        <w:t xml:space="preserve">the established deadline provided by law in this chapter; and </w:t>
      </w:r>
    </w:p>
    <w:p w:rsidR="00515084" w:rsidRPr="007709F9"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09F9">
        <w:rPr>
          <w:color w:val="000000" w:themeColor="text1"/>
          <w:u w:color="000000" w:themeColor="text1"/>
        </w:rPr>
        <w:t xml:space="preserve">after notice has been given by </w:t>
      </w:r>
      <w:r w:rsidRPr="00B943BD">
        <w:rPr>
          <w:strike/>
          <w:color w:val="000000" w:themeColor="text1"/>
          <w:u w:color="000000" w:themeColor="text1"/>
        </w:rPr>
        <w:t>certified or registered</w:t>
      </w:r>
      <w:r w:rsidRPr="007709F9">
        <w:rPr>
          <w:color w:val="000000" w:themeColor="text1"/>
          <w:u w:color="000000" w:themeColor="text1"/>
        </w:rPr>
        <w:t xml:space="preserve"> </w:t>
      </w:r>
      <w:r w:rsidRPr="00B943BD">
        <w:rPr>
          <w:color w:val="000000" w:themeColor="text1"/>
          <w:u w:val="single"/>
        </w:rPr>
        <w:t>electronic</w:t>
      </w:r>
      <w:r>
        <w:rPr>
          <w:color w:val="000000" w:themeColor="text1"/>
          <w:u w:color="000000" w:themeColor="text1"/>
        </w:rPr>
        <w:t xml:space="preserve"> </w:t>
      </w:r>
      <w:r w:rsidRPr="007709F9">
        <w:rPr>
          <w:color w:val="000000" w:themeColor="text1"/>
          <w:u w:color="000000" w:themeColor="text1"/>
        </w:rPr>
        <w:t xml:space="preserve">mail that a required statement or report has not been filed, a fine of </w:t>
      </w:r>
      <w:r w:rsidRPr="00061677">
        <w:rPr>
          <w:strike/>
          <w:color w:val="000000" w:themeColor="text1"/>
          <w:u w:color="000000" w:themeColor="text1"/>
        </w:rPr>
        <w:t>ten</w:t>
      </w:r>
      <w:r w:rsidRPr="007709F9">
        <w:rPr>
          <w:color w:val="000000" w:themeColor="text1"/>
          <w:u w:color="000000" w:themeColor="text1"/>
        </w:rPr>
        <w:t xml:space="preserve"> </w:t>
      </w:r>
      <w:r w:rsidRPr="00061677">
        <w:rPr>
          <w:color w:val="000000" w:themeColor="text1"/>
          <w:u w:val="single"/>
        </w:rPr>
        <w:t>five hundred</w:t>
      </w:r>
      <w:r>
        <w:rPr>
          <w:color w:val="000000" w:themeColor="text1"/>
          <w:u w:color="000000" w:themeColor="text1"/>
        </w:rPr>
        <w:t xml:space="preserve"> </w:t>
      </w:r>
      <w:r w:rsidRPr="007709F9">
        <w:rPr>
          <w:color w:val="000000" w:themeColor="text1"/>
          <w:u w:color="000000" w:themeColor="text1"/>
        </w:rPr>
        <w:t xml:space="preserve">dollars per calendar day </w:t>
      </w:r>
      <w:r w:rsidRPr="00061677">
        <w:rPr>
          <w:strike/>
          <w:color w:val="000000" w:themeColor="text1"/>
          <w:u w:color="000000" w:themeColor="text1"/>
        </w:rPr>
        <w:t>for the first ten days after notice has been given, and one hundred dollars</w:t>
      </w:r>
      <w:r w:rsidRPr="007709F9">
        <w:rPr>
          <w:color w:val="000000" w:themeColor="text1"/>
          <w:u w:color="000000" w:themeColor="text1"/>
        </w:rPr>
        <w:t xml:space="preserve"> for each additional calendar day in which the required statement or report is not filed, not exceeding five thousand dollars. </w:t>
      </w:r>
    </w:p>
    <w:p w:rsidR="00515084" w:rsidRPr="007709F9"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09F9">
        <w:rPr>
          <w:color w:val="000000" w:themeColor="text1"/>
          <w:u w:color="000000" w:themeColor="text1"/>
        </w:rPr>
        <w:t xml:space="preserve">After the maximum civil penalty has been levied and the required statement or report has not been filed, the person is: </w:t>
      </w:r>
    </w:p>
    <w:p w:rsidR="00515084" w:rsidRPr="007709F9"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(1)</w:t>
      </w:r>
      <w:r>
        <w:rPr>
          <w:color w:val="000000" w:themeColor="text1"/>
          <w:u w:color="000000" w:themeColor="text1"/>
        </w:rPr>
        <w:tab/>
      </w:r>
      <w:r w:rsidRPr="007709F9">
        <w:rPr>
          <w:color w:val="000000" w:themeColor="text1"/>
          <w:u w:color="000000" w:themeColor="text1"/>
        </w:rPr>
        <w:t xml:space="preserve">for a first offense, guilty of a misdemeanor triable in magistrates court and, upon conviction, must be fined not more than five hundred dollars or imprisoned not more than thirty days; </w:t>
      </w:r>
    </w:p>
    <w:p w:rsidR="00515084" w:rsidRPr="007709F9"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709F9">
        <w:rPr>
          <w:color w:val="000000" w:themeColor="text1"/>
          <w:u w:color="000000" w:themeColor="text1"/>
        </w:rPr>
        <w:t>(2)</w:t>
      </w:r>
      <w:r>
        <w:rPr>
          <w:color w:val="000000" w:themeColor="text1"/>
          <w:u w:color="000000" w:themeColor="text1"/>
        </w:rPr>
        <w:tab/>
      </w:r>
      <w:r w:rsidRPr="007709F9">
        <w:rPr>
          <w:color w:val="000000" w:themeColor="text1"/>
          <w:u w:color="000000" w:themeColor="text1"/>
        </w:rPr>
        <w:t xml:space="preserve">for a second offense, guilty of a misdemeanor triable in magistrates court and, upon conviction, must be fined not less than two thousand five hundred dollars nor more than five thousand dollars or imprisoned not less than a mandatory minimum of thirty days; </w:t>
      </w:r>
    </w:p>
    <w:p w:rsidR="00515084" w:rsidRPr="007709F9"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709F9">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r>
        <w:rPr>
          <w:color w:val="000000" w:themeColor="text1"/>
          <w:u w:color="000000" w:themeColor="text1"/>
        </w:rPr>
        <w:t>”</w:t>
      </w:r>
      <w:r>
        <w:rPr>
          <w:color w:val="000000" w:themeColor="text1"/>
          <w:u w:color="000000" w:themeColor="text1"/>
        </w:rPr>
        <w:tab/>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15084" w:rsidRDefault="00515084" w:rsidP="0078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8-13-1312 of the 1976 Code is amended to read:</w:t>
      </w:r>
    </w:p>
    <w:p w:rsidR="00515084" w:rsidRDefault="00515084" w:rsidP="0078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5084" w:rsidRDefault="00515084" w:rsidP="00784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tab/>
        <w:t>“Section 8-13-1312.</w:t>
      </w:r>
      <w:r>
        <w:tab/>
        <w:t xml:space="preserve">Except as is required for the separation of funds and expenditures under the provisions of Section 8-13-1300(7),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8-13-1348(C), expenses paid on behalf of a candidate or committee must be drawn from the campaign account and issued on a check signed by the candidate or a duly authorized officer of a committee. </w:t>
      </w:r>
      <w:r w:rsidRPr="00C91F66">
        <w:t>All contributions received by the candidate or committee, directly or indirectly, must be deposited in the campaign account by the candidate</w:t>
      </w:r>
      <w:r w:rsidRPr="00C91F66">
        <w:rPr>
          <w:u w:val="single"/>
        </w:rPr>
        <w:t>,</w:t>
      </w:r>
      <w:r w:rsidRPr="00C91F66">
        <w:t xml:space="preserve"> </w:t>
      </w:r>
      <w:r w:rsidRPr="00C91F66">
        <w:rPr>
          <w:strike/>
        </w:rPr>
        <w:t>or</w:t>
      </w:r>
      <w:r w:rsidRPr="00C91F66">
        <w:t xml:space="preserve"> committee</w:t>
      </w:r>
      <w:r w:rsidRPr="00C91F66">
        <w:rPr>
          <w:u w:val="single"/>
        </w:rPr>
        <w:t>, or an agent of a candidate or committee</w:t>
      </w:r>
      <w:r>
        <w:t xml:space="preserve"> </w:t>
      </w:r>
      <w:r w:rsidRPr="00C91F66">
        <w:t xml:space="preserve">within </w:t>
      </w:r>
      <w:r w:rsidRPr="004709CD">
        <w:rPr>
          <w:strike/>
        </w:rPr>
        <w:t>ten days</w:t>
      </w:r>
      <w:r w:rsidRPr="00C91F66">
        <w:t xml:space="preserve"> </w:t>
      </w:r>
      <w:r w:rsidRPr="00C91F66">
        <w:rPr>
          <w:u w:val="single"/>
        </w:rPr>
        <w:t>two business days</w:t>
      </w:r>
      <w:r>
        <w:t xml:space="preserve"> </w:t>
      </w:r>
      <w:r w:rsidRPr="00C91F66">
        <w:t>after receipt</w:t>
      </w:r>
      <w:r w:rsidRPr="000F580F">
        <w:t xml:space="preserve">. </w:t>
      </w:r>
      <w:r w:rsidRPr="004709CD">
        <w:rPr>
          <w:strike/>
        </w:rPr>
        <w:t>All contributions received by an agent of a candidate or committee must be forwarded to the candidate or committee not later than five days after receipt.</w:t>
      </w:r>
      <w:r>
        <w:t xml:space="preserve"> </w:t>
      </w:r>
      <w:r w:rsidRPr="000F580F">
        <w:rPr>
          <w:strike/>
        </w:rPr>
        <w:t>A</w:t>
      </w:r>
      <w:r>
        <w:t xml:space="preserve"> </w:t>
      </w:r>
      <w:r w:rsidRPr="000F580F">
        <w:rPr>
          <w:u w:val="single"/>
        </w:rPr>
        <w:t>However, a</w:t>
      </w:r>
      <w:r>
        <w:t xml:space="preserve"> contribution must not be deposited until the candidate or committee receives information regarding the name and address of the contributor. If the name and address cannot be determined within seven days after receipt, the contribution must be remitted to the Children's Trust Fund.  </w:t>
      </w:r>
      <w:r w:rsidRPr="000F580F">
        <w:rPr>
          <w:u w:val="single"/>
        </w:rPr>
        <w:t xml:space="preserve">A contribution is deemed received on the day it is accepted by the candidate, committee </w:t>
      </w:r>
      <w:r>
        <w:rPr>
          <w:u w:val="single"/>
        </w:rPr>
        <w:t xml:space="preserve">member or </w:t>
      </w:r>
      <w:r w:rsidRPr="000F580F">
        <w:rPr>
          <w:u w:val="single"/>
        </w:rPr>
        <w:t>official, or agent</w:t>
      </w:r>
      <w:r>
        <w:rPr>
          <w:u w:val="single"/>
        </w:rPr>
        <w:t xml:space="preserve"> of the candidate or committee</w:t>
      </w:r>
      <w:r w:rsidRPr="000F580F">
        <w:rPr>
          <w:u w:val="single"/>
        </w:rPr>
        <w:t xml:space="preserve">, </w:t>
      </w:r>
      <w:r>
        <w:rPr>
          <w:u w:val="single"/>
        </w:rPr>
        <w:t xml:space="preserve">the day submitted for online or other electronic means, </w:t>
      </w:r>
      <w:r w:rsidRPr="000F580F">
        <w:rPr>
          <w:u w:val="single"/>
        </w:rPr>
        <w:t xml:space="preserve">or </w:t>
      </w:r>
      <w:r>
        <w:rPr>
          <w:u w:val="single"/>
        </w:rPr>
        <w:t xml:space="preserve">on </w:t>
      </w:r>
      <w:r w:rsidRPr="000F580F">
        <w:rPr>
          <w:u w:val="single"/>
        </w:rPr>
        <w:t xml:space="preserve">the day </w:t>
      </w:r>
      <w:r>
        <w:rPr>
          <w:u w:val="single"/>
        </w:rPr>
        <w:t>it is delivered by the post office or other delivery method</w:t>
      </w:r>
      <w:r w:rsidRPr="000F580F">
        <w:rPr>
          <w:u w:val="single"/>
        </w:rPr>
        <w:t>.</w:t>
      </w:r>
      <w:r w:rsidRPr="009D60B2">
        <w:t>”</w:t>
      </w:r>
      <w:r w:rsidRPr="009D60B2">
        <w:tab/>
      </w:r>
    </w:p>
    <w:p w:rsidR="00515084"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u w:color="000000" w:themeColor="text1"/>
        </w:rPr>
      </w:pPr>
    </w:p>
    <w:p w:rsidR="00515084" w:rsidRPr="00C662E0" w:rsidRDefault="00515084" w:rsidP="004A4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2E0">
        <w:rPr>
          <w:rFonts w:eastAsia="Times New Roman"/>
          <w:color w:val="000000" w:themeColor="text1"/>
          <w:u w:color="000000" w:themeColor="text1"/>
        </w:rPr>
        <w:t>SECTION</w:t>
      </w:r>
      <w:r w:rsidRPr="00C662E0">
        <w:rPr>
          <w:rFonts w:eastAsia="Times New Roman"/>
          <w:color w:val="000000" w:themeColor="text1"/>
          <w:u w:color="000000" w:themeColor="text1"/>
        </w:rPr>
        <w:tab/>
      </w:r>
      <w:r>
        <w:rPr>
          <w:rFonts w:eastAsia="Times New Roman"/>
          <w:color w:val="000000" w:themeColor="text1"/>
          <w:u w:color="000000" w:themeColor="text1"/>
        </w:rPr>
        <w:t>5</w:t>
      </w:r>
      <w:r w:rsidRPr="00C662E0">
        <w:rPr>
          <w:rFonts w:eastAsia="Times New Roman"/>
          <w:color w:val="000000" w:themeColor="text1"/>
          <w:u w:color="000000" w:themeColor="text1"/>
        </w:rPr>
        <w:t>.</w:t>
      </w:r>
      <w:r w:rsidRPr="00C662E0">
        <w:rPr>
          <w:rFonts w:eastAsia="Times New Roman"/>
          <w:color w:val="000000" w:themeColor="text1"/>
          <w:u w:color="000000" w:themeColor="text1"/>
        </w:rPr>
        <w:tab/>
        <w:t>This act takes effect upon approval by the Governor</w:t>
      </w:r>
      <w:r w:rsidRPr="00C662E0">
        <w:rPr>
          <w:rFonts w:eastAsia="Times New Roman"/>
        </w:rPr>
        <w:t>.</w:t>
      </w:r>
    </w:p>
    <w:p w:rsidR="00515084" w:rsidRDefault="005150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6C2E" w:rsidRDefault="008A6C2E" w:rsidP="0051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A6C2E" w:rsidSect="00E226D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A11" w:rsidRDefault="005B7A11" w:rsidP="00522CE0">
      <w:r>
        <w:separator/>
      </w:r>
    </w:p>
  </w:endnote>
  <w:endnote w:type="continuationSeparator" w:id="0">
    <w:p w:rsidR="005B7A11" w:rsidRDefault="005B7A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36CAB8-2030-46BB-B13B-A6077F091AEB}"/>
    <w:embedBold r:id="rId2" w:fontKey="{C9FE67EF-308D-4292-9784-8F6A46F70D77}"/>
  </w:font>
  <w:font w:name="Calibri">
    <w:panose1 w:val="020F0502020204030204"/>
    <w:charset w:val="00"/>
    <w:family w:val="swiss"/>
    <w:pitch w:val="variable"/>
    <w:sig w:usb0="E10002FF" w:usb1="4000ACFF" w:usb2="00000009" w:usb3="00000000" w:csb0="0000019F" w:csb1="00000000"/>
    <w:embedRegular r:id="rId3" w:fontKey="{9E252623-8EAA-434E-88F8-010537C8C471}"/>
    <w:embedBold r:id="rId4" w:fontKey="{1F87B55E-A5CF-47A6-805F-97A53349E1B1}"/>
  </w:font>
  <w:font w:name="Cambria">
    <w:panose1 w:val="02040503050406030204"/>
    <w:charset w:val="00"/>
    <w:family w:val="roman"/>
    <w:pitch w:val="variable"/>
    <w:sig w:usb0="E00002FF" w:usb1="400004FF" w:usb2="00000000" w:usb3="00000000" w:csb0="0000019F" w:csb1="00000000"/>
    <w:embedRegular r:id="rId5" w:fontKey="{292DDB7B-B8DF-43B2-8303-EB5EA30A11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084" w:rsidRPr="008A6C2E" w:rsidRDefault="00515084" w:rsidP="008A6C2E">
    <w:pPr>
      <w:pStyle w:val="Footer"/>
      <w:tabs>
        <w:tab w:val="clear" w:pos="4680"/>
        <w:tab w:val="clear" w:pos="9360"/>
        <w:tab w:val="center" w:pos="2995"/>
      </w:tabs>
      <w:spacing w:before="120"/>
    </w:pPr>
    <w:r>
      <w:t>[412-</w:t>
    </w:r>
    <w:r w:rsidR="00F921A0">
      <w:fldChar w:fldCharType="begin"/>
    </w:r>
    <w:r w:rsidR="00F921A0">
      <w:instrText xml:space="preserve"> PAGE  \* MERGEFORMAT </w:instrText>
    </w:r>
    <w:r w:rsidR="00F921A0">
      <w:fldChar w:fldCharType="separate"/>
    </w:r>
    <w:r w:rsidR="00EB5C5F">
      <w:rPr>
        <w:noProof/>
      </w:rPr>
      <w:t>1</w:t>
    </w:r>
    <w:r w:rsidR="00F921A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6D2" w:rsidRPr="008A6C2E" w:rsidRDefault="00515084" w:rsidP="008A6C2E">
    <w:pPr>
      <w:pStyle w:val="Footer"/>
      <w:tabs>
        <w:tab w:val="clear" w:pos="4680"/>
        <w:tab w:val="clear" w:pos="9360"/>
        <w:tab w:val="center" w:pos="2995"/>
      </w:tabs>
      <w:spacing w:before="120"/>
    </w:pPr>
    <w:r>
      <w:t>[412]</w:t>
    </w:r>
    <w:r>
      <w:tab/>
    </w:r>
    <w:r w:rsidR="00F74A84">
      <w:fldChar w:fldCharType="begin"/>
    </w:r>
    <w:r>
      <w:instrText xml:space="preserve"> PAGE  \* MERGEFORMAT </w:instrText>
    </w:r>
    <w:r w:rsidR="00F74A84">
      <w:fldChar w:fldCharType="separate"/>
    </w:r>
    <w:r>
      <w:rPr>
        <w:noProof/>
      </w:rPr>
      <w:t>6</w:t>
    </w:r>
    <w:r w:rsidR="00F74A8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A11" w:rsidRDefault="005B7A11" w:rsidP="00522CE0">
      <w:r>
        <w:separator/>
      </w:r>
    </w:p>
  </w:footnote>
  <w:footnote w:type="continuationSeparator" w:id="0">
    <w:p w:rsidR="005B7A11" w:rsidRDefault="005B7A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4REPO.MRH.PT"/>
    <w:docVar w:name="CoverAttorneyInitials" w:val="MRH"/>
    <w:docVar w:name="CoverAttorneyLastName" w:val="Hitchcock"/>
    <w:docVar w:name="CoverBillType" w:val="b"/>
    <w:docVar w:name="CoverSenator" w:val="PT"/>
    <w:docVar w:name="dvBillNumber" w:val="412"/>
    <w:docVar w:name="dvBillNumberPrefix" w:val="S. "/>
    <w:docVar w:name="dvOriginalBody" w:val="Senate"/>
    <w:docVar w:name="fulldraftpath" w:val="L:\S-RES\PT\004REPO.MRH.PT.DOCX"/>
    <w:docVar w:name="NameofBody" w:val="S"/>
    <w:docVar w:name="vgroup2" w:val="S-RES"/>
  </w:docVars>
  <w:rsids>
    <w:rsidRoot w:val="00AC28EE"/>
    <w:rsid w:val="00037B9D"/>
    <w:rsid w:val="00042AC1"/>
    <w:rsid w:val="00046516"/>
    <w:rsid w:val="00046FB8"/>
    <w:rsid w:val="0007601D"/>
    <w:rsid w:val="000A1E46"/>
    <w:rsid w:val="000B0720"/>
    <w:rsid w:val="000B5EAF"/>
    <w:rsid w:val="000C0B5F"/>
    <w:rsid w:val="00122247"/>
    <w:rsid w:val="00170561"/>
    <w:rsid w:val="00175ED9"/>
    <w:rsid w:val="00186AC9"/>
    <w:rsid w:val="00197DF1"/>
    <w:rsid w:val="001B3DD9"/>
    <w:rsid w:val="001B7E5D"/>
    <w:rsid w:val="001D3BAC"/>
    <w:rsid w:val="001F4B57"/>
    <w:rsid w:val="00216025"/>
    <w:rsid w:val="00245C4E"/>
    <w:rsid w:val="002C1321"/>
    <w:rsid w:val="002C5896"/>
    <w:rsid w:val="002D3BED"/>
    <w:rsid w:val="00307C2B"/>
    <w:rsid w:val="00383247"/>
    <w:rsid w:val="003D6E2B"/>
    <w:rsid w:val="003E23E4"/>
    <w:rsid w:val="003E7597"/>
    <w:rsid w:val="003F71F1"/>
    <w:rsid w:val="004203B0"/>
    <w:rsid w:val="0044020F"/>
    <w:rsid w:val="00450668"/>
    <w:rsid w:val="004677B1"/>
    <w:rsid w:val="004813A2"/>
    <w:rsid w:val="004952FA"/>
    <w:rsid w:val="004A302B"/>
    <w:rsid w:val="004B6A22"/>
    <w:rsid w:val="004D7F37"/>
    <w:rsid w:val="004E19AC"/>
    <w:rsid w:val="00515084"/>
    <w:rsid w:val="00522CE0"/>
    <w:rsid w:val="005256AB"/>
    <w:rsid w:val="0055720B"/>
    <w:rsid w:val="00565148"/>
    <w:rsid w:val="00593361"/>
    <w:rsid w:val="005A413B"/>
    <w:rsid w:val="005A5017"/>
    <w:rsid w:val="005A648C"/>
    <w:rsid w:val="005B0FF3"/>
    <w:rsid w:val="005B7A11"/>
    <w:rsid w:val="005D6A10"/>
    <w:rsid w:val="005F1745"/>
    <w:rsid w:val="00612230"/>
    <w:rsid w:val="00627440"/>
    <w:rsid w:val="006A1802"/>
    <w:rsid w:val="006C74EA"/>
    <w:rsid w:val="006F3BF1"/>
    <w:rsid w:val="0070508F"/>
    <w:rsid w:val="00720D40"/>
    <w:rsid w:val="007318D4"/>
    <w:rsid w:val="007438E0"/>
    <w:rsid w:val="00765784"/>
    <w:rsid w:val="007746E7"/>
    <w:rsid w:val="007A4390"/>
    <w:rsid w:val="007E5CB7"/>
    <w:rsid w:val="008314D2"/>
    <w:rsid w:val="00851CC9"/>
    <w:rsid w:val="008A6C2E"/>
    <w:rsid w:val="008A70EE"/>
    <w:rsid w:val="008B2F42"/>
    <w:rsid w:val="008C3697"/>
    <w:rsid w:val="008D13B1"/>
    <w:rsid w:val="008E185F"/>
    <w:rsid w:val="008F023B"/>
    <w:rsid w:val="00904E16"/>
    <w:rsid w:val="009162B3"/>
    <w:rsid w:val="00916323"/>
    <w:rsid w:val="00927C62"/>
    <w:rsid w:val="0095203D"/>
    <w:rsid w:val="00983951"/>
    <w:rsid w:val="00984124"/>
    <w:rsid w:val="00984640"/>
    <w:rsid w:val="00990160"/>
    <w:rsid w:val="00995C37"/>
    <w:rsid w:val="009C118A"/>
    <w:rsid w:val="00A02011"/>
    <w:rsid w:val="00A21490"/>
    <w:rsid w:val="00A2634B"/>
    <w:rsid w:val="00A4011E"/>
    <w:rsid w:val="00A86015"/>
    <w:rsid w:val="00A9594E"/>
    <w:rsid w:val="00AC28EE"/>
    <w:rsid w:val="00AE59C8"/>
    <w:rsid w:val="00B10098"/>
    <w:rsid w:val="00B258FF"/>
    <w:rsid w:val="00B5790D"/>
    <w:rsid w:val="00B945C5"/>
    <w:rsid w:val="00BA20EA"/>
    <w:rsid w:val="00BB5AFC"/>
    <w:rsid w:val="00BC0A56"/>
    <w:rsid w:val="00BC74A2"/>
    <w:rsid w:val="00BF343E"/>
    <w:rsid w:val="00C0411F"/>
    <w:rsid w:val="00C45366"/>
    <w:rsid w:val="00C5642E"/>
    <w:rsid w:val="00C57023"/>
    <w:rsid w:val="00C74052"/>
    <w:rsid w:val="00CA120D"/>
    <w:rsid w:val="00CB187A"/>
    <w:rsid w:val="00CB1912"/>
    <w:rsid w:val="00CC0EC7"/>
    <w:rsid w:val="00CC7D8C"/>
    <w:rsid w:val="00D1088B"/>
    <w:rsid w:val="00D14DE6"/>
    <w:rsid w:val="00D156D2"/>
    <w:rsid w:val="00D172EE"/>
    <w:rsid w:val="00D378DC"/>
    <w:rsid w:val="00D508D3"/>
    <w:rsid w:val="00D53E29"/>
    <w:rsid w:val="00D86943"/>
    <w:rsid w:val="00D9739C"/>
    <w:rsid w:val="00DA47B9"/>
    <w:rsid w:val="00E058D3"/>
    <w:rsid w:val="00E76AD9"/>
    <w:rsid w:val="00E91E2F"/>
    <w:rsid w:val="00EA3546"/>
    <w:rsid w:val="00EB47AE"/>
    <w:rsid w:val="00EB5C5F"/>
    <w:rsid w:val="00EB719D"/>
    <w:rsid w:val="00EC34E1"/>
    <w:rsid w:val="00F0234A"/>
    <w:rsid w:val="00F51241"/>
    <w:rsid w:val="00F52959"/>
    <w:rsid w:val="00F55580"/>
    <w:rsid w:val="00F55884"/>
    <w:rsid w:val="00F74A84"/>
    <w:rsid w:val="00F921A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D427588E-A611-42E7-A9FA-7E7E01724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222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4-13.docx" TargetMode="External"/><Relationship Id="rId13" Type="http://schemas.openxmlformats.org/officeDocument/2006/relationships/hyperlink" Target="file:///p:\pprever\2013-14\412_20130220.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3\02-20-13.docx" TargetMode="External"/><Relationship Id="rId12" Type="http://schemas.openxmlformats.org/officeDocument/2006/relationships/hyperlink" Target="file:///h:\SJ%20Archive\2013\04-30-13.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3-14\412_20130501.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3\02-20-13.docx" TargetMode="External"/><Relationship Id="rId11" Type="http://schemas.openxmlformats.org/officeDocument/2006/relationships/hyperlink" Target="file:///h:\SJ%20Archive\2013\04-30-13.docx" TargetMode="External"/><Relationship Id="rId5" Type="http://schemas.openxmlformats.org/officeDocument/2006/relationships/endnotes" Target="endnotes.xml"/><Relationship Id="rId15" Type="http://schemas.openxmlformats.org/officeDocument/2006/relationships/hyperlink" Target="file:///p:\pprever\2013-14\412_20130430.docx" TargetMode="External"/><Relationship Id="rId10" Type="http://schemas.openxmlformats.org/officeDocument/2006/relationships/hyperlink" Target="file:///h:\SJ%20Archive\2013\04-30-13.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3\04-30-13.docx" TargetMode="External"/><Relationship Id="rId14" Type="http://schemas.openxmlformats.org/officeDocument/2006/relationships/hyperlink" Target="file:///p:\pprever\2013-14\412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412: Certified campaign reports - South Carolina Legislature Online</dc:title>
  <dc:subject/>
  <dc:creator>%USERNAME%</dc:creator>
  <cp:keywords/>
  <dc:description/>
  <cp:lastModifiedBy>N Cumfer</cp:lastModifiedBy>
  <cp:revision>6</cp:revision>
  <dcterms:created xsi:type="dcterms:W3CDTF">2013-05-01T18:28:00Z</dcterms:created>
  <dcterms:modified xsi:type="dcterms:W3CDTF">2014-12-04T20:39:00Z</dcterms:modified>
</cp:coreProperties>
</file>