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EFD" w:rsidRDefault="003B0EFD" w:rsidP="003B0EFD">
      <w:pPr>
        <w:widowControl w:val="0"/>
        <w:jc w:val="center"/>
      </w:pPr>
      <w:r w:rsidRPr="003B0EFD">
        <w:rPr>
          <w:b/>
        </w:rPr>
        <w:t>South Carolina General Assembly</w:t>
      </w:r>
    </w:p>
    <w:p w:rsidR="003B0EFD" w:rsidRDefault="003B0EFD" w:rsidP="003B0EFD">
      <w:pPr>
        <w:widowControl w:val="0"/>
        <w:jc w:val="center"/>
      </w:pPr>
      <w:r>
        <w:t>120th Session, 2013-2014</w:t>
      </w:r>
    </w:p>
    <w:p w:rsidR="003B0EFD" w:rsidRDefault="003B0EFD" w:rsidP="003B0EFD">
      <w:pPr>
        <w:widowControl w:val="0"/>
        <w:jc w:val="left"/>
      </w:pPr>
    </w:p>
    <w:p w:rsidR="003B0EFD" w:rsidRDefault="003B0EFD" w:rsidP="003B0EFD">
      <w:pPr>
        <w:widowControl w:val="0"/>
        <w:jc w:val="left"/>
        <w:rPr>
          <w:b/>
        </w:rPr>
      </w:pPr>
      <w:r w:rsidRPr="003B0EFD">
        <w:rPr>
          <w:b/>
        </w:rPr>
        <w:t>H. 4363</w:t>
      </w:r>
    </w:p>
    <w:p w:rsidR="003B0EFD" w:rsidRDefault="003B0EFD" w:rsidP="003B0EFD">
      <w:pPr>
        <w:widowControl w:val="0"/>
        <w:jc w:val="left"/>
        <w:rPr>
          <w:b/>
        </w:rPr>
      </w:pPr>
    </w:p>
    <w:p w:rsidR="003B0EFD" w:rsidRDefault="003B0EFD" w:rsidP="003B0EFD">
      <w:pPr>
        <w:widowControl w:val="0"/>
        <w:jc w:val="left"/>
      </w:pPr>
      <w:r w:rsidRPr="003B0EFD">
        <w:rPr>
          <w:b/>
        </w:rPr>
        <w:t>STATUS INFORMATION</w:t>
      </w:r>
    </w:p>
    <w:p w:rsidR="003B0EFD" w:rsidRDefault="003B0EFD" w:rsidP="003B0EFD">
      <w:pPr>
        <w:widowControl w:val="0"/>
        <w:jc w:val="left"/>
      </w:pPr>
    </w:p>
    <w:p w:rsidR="003B0EFD" w:rsidRDefault="003B0EFD" w:rsidP="003B0EFD">
      <w:pPr>
        <w:widowControl w:val="0"/>
        <w:jc w:val="left"/>
      </w:pPr>
      <w:r>
        <w:t>General Bill</w:t>
      </w:r>
    </w:p>
    <w:p w:rsidR="003B0EFD" w:rsidRDefault="003B0EFD" w:rsidP="003B0EFD">
      <w:pPr>
        <w:widowControl w:val="0"/>
        <w:jc w:val="left"/>
      </w:pPr>
      <w:r>
        <w:t>Sponsors: Rep. G.M. Smith</w:t>
      </w:r>
    </w:p>
    <w:p w:rsidR="003B0EFD" w:rsidRDefault="003B0EFD" w:rsidP="003B0EFD">
      <w:pPr>
        <w:widowControl w:val="0"/>
        <w:jc w:val="left"/>
      </w:pPr>
      <w:r>
        <w:t>Document Path: l:\council\bills\bbm\10969htc14.docx</w:t>
      </w:r>
    </w:p>
    <w:p w:rsidR="003B0EFD" w:rsidRDefault="003B0EFD" w:rsidP="003B0EFD">
      <w:pPr>
        <w:widowControl w:val="0"/>
        <w:jc w:val="left"/>
      </w:pPr>
    </w:p>
    <w:p w:rsidR="003E161F" w:rsidRDefault="003E161F" w:rsidP="003B0EFD">
      <w:pPr>
        <w:widowControl w:val="0"/>
        <w:jc w:val="left"/>
      </w:pPr>
      <w:r>
        <w:t>Introduced in the House on January 14, 2014</w:t>
      </w:r>
    </w:p>
    <w:p w:rsidR="003E161F" w:rsidRPr="003E161F" w:rsidRDefault="003E161F" w:rsidP="003B0EFD">
      <w:pPr>
        <w:widowControl w:val="0"/>
        <w:jc w:val="left"/>
      </w:pPr>
      <w:r>
        <w:t xml:space="preserve">Currently residing in the House Committee on </w:t>
      </w:r>
      <w:r w:rsidRPr="003E161F">
        <w:rPr>
          <w:b/>
        </w:rPr>
        <w:t>Ways and Means</w:t>
      </w:r>
    </w:p>
    <w:p w:rsidR="003E161F" w:rsidRDefault="003E161F" w:rsidP="003B0EFD">
      <w:pPr>
        <w:widowControl w:val="0"/>
        <w:jc w:val="left"/>
      </w:pPr>
    </w:p>
    <w:p w:rsidR="003B0EFD" w:rsidRDefault="003B0EFD" w:rsidP="003B0EFD">
      <w:pPr>
        <w:widowControl w:val="0"/>
        <w:jc w:val="left"/>
      </w:pPr>
      <w:r>
        <w:t xml:space="preserve">Summary: </w:t>
      </w:r>
      <w:r w:rsidR="006B2BEF">
        <w:t>Property tax</w:t>
      </w:r>
    </w:p>
    <w:p w:rsidR="003B0EFD" w:rsidRDefault="003B0EFD" w:rsidP="003B0EFD">
      <w:pPr>
        <w:widowControl w:val="0"/>
        <w:jc w:val="left"/>
      </w:pPr>
    </w:p>
    <w:p w:rsidR="003B0EFD" w:rsidRDefault="003B0EFD" w:rsidP="003B0EFD">
      <w:pPr>
        <w:widowControl w:val="0"/>
        <w:jc w:val="left"/>
      </w:pPr>
    </w:p>
    <w:p w:rsidR="003B0EFD" w:rsidRDefault="003B0EFD" w:rsidP="003B0EFD">
      <w:pPr>
        <w:widowControl w:val="0"/>
        <w:tabs>
          <w:tab w:val="center" w:pos="590"/>
          <w:tab w:val="center" w:pos="1440"/>
          <w:tab w:val="left" w:pos="1872"/>
          <w:tab w:val="left" w:pos="9187"/>
        </w:tabs>
        <w:jc w:val="left"/>
      </w:pPr>
      <w:r w:rsidRPr="003B0EFD">
        <w:rPr>
          <w:b/>
        </w:rPr>
        <w:t>HISTORY OF LEGISLATIVE ACTIONS</w:t>
      </w:r>
    </w:p>
    <w:p w:rsidR="003B0EFD" w:rsidRDefault="003B0EFD" w:rsidP="003B0EFD">
      <w:pPr>
        <w:widowControl w:val="0"/>
        <w:tabs>
          <w:tab w:val="center" w:pos="590"/>
          <w:tab w:val="center" w:pos="1440"/>
          <w:tab w:val="left" w:pos="1872"/>
          <w:tab w:val="left" w:pos="9187"/>
        </w:tabs>
        <w:jc w:val="left"/>
      </w:pPr>
    </w:p>
    <w:p w:rsidR="003B0EFD" w:rsidRPr="003B0EFD" w:rsidRDefault="003B0EFD" w:rsidP="003B0EFD">
      <w:pPr>
        <w:widowControl w:val="0"/>
        <w:tabs>
          <w:tab w:val="center" w:pos="590"/>
          <w:tab w:val="center" w:pos="1440"/>
          <w:tab w:val="left" w:pos="1872"/>
          <w:tab w:val="left" w:pos="9187"/>
        </w:tabs>
        <w:jc w:val="left"/>
      </w:pPr>
      <w:r w:rsidRPr="003B0EFD">
        <w:rPr>
          <w:u w:val="single"/>
        </w:rPr>
        <w:tab/>
        <w:t>Date</w:t>
      </w:r>
      <w:r w:rsidRPr="003B0EFD">
        <w:rPr>
          <w:u w:val="single"/>
        </w:rPr>
        <w:tab/>
        <w:t>Body</w:t>
      </w:r>
      <w:r w:rsidRPr="003B0EFD">
        <w:rPr>
          <w:u w:val="single"/>
        </w:rPr>
        <w:tab/>
        <w:t>Action Description with journal page number</w:t>
      </w:r>
      <w:r w:rsidRPr="003B0EFD">
        <w:rPr>
          <w:u w:val="single"/>
        </w:rPr>
        <w:tab/>
      </w:r>
      <w:bookmarkStart w:id="0" w:name="_GoBack"/>
      <w:bookmarkEnd w:id="0"/>
    </w:p>
    <w:p w:rsidR="00AD2A6C" w:rsidRDefault="00AD2A6C" w:rsidP="00AD2A6C">
      <w:pPr>
        <w:widowControl w:val="0"/>
        <w:tabs>
          <w:tab w:val="right" w:pos="1008"/>
          <w:tab w:val="left" w:pos="1152"/>
          <w:tab w:val="left" w:pos="1872"/>
          <w:tab w:val="left" w:pos="9187"/>
        </w:tabs>
        <w:ind w:left="2088" w:hanging="2088"/>
        <w:jc w:val="left"/>
      </w:pPr>
      <w:r>
        <w:tab/>
        <w:t>12/3/2013</w:t>
      </w:r>
      <w:r>
        <w:tab/>
        <w:t>House</w:t>
      </w:r>
      <w:r>
        <w:tab/>
      </w:r>
      <w:r w:rsidRPr="00AB574F">
        <w:t>Prefiled</w:t>
      </w:r>
    </w:p>
    <w:p w:rsidR="00AD2A6C" w:rsidRDefault="00AD2A6C" w:rsidP="00AD2A6C">
      <w:pPr>
        <w:widowControl w:val="0"/>
        <w:tabs>
          <w:tab w:val="right" w:pos="1008"/>
          <w:tab w:val="left" w:pos="1152"/>
          <w:tab w:val="left" w:pos="1872"/>
          <w:tab w:val="left" w:pos="9187"/>
        </w:tabs>
        <w:ind w:left="2088" w:hanging="2088"/>
        <w:jc w:val="left"/>
      </w:pPr>
      <w:r>
        <w:tab/>
        <w:t>12/3/2013</w:t>
      </w:r>
      <w:r>
        <w:tab/>
        <w:t>House</w:t>
      </w:r>
      <w:r>
        <w:tab/>
      </w:r>
      <w:r w:rsidRPr="00AB574F">
        <w:t xml:space="preserve">Referred to Committee on </w:t>
      </w:r>
      <w:r w:rsidRPr="00AB574F">
        <w:rPr>
          <w:b/>
        </w:rPr>
        <w:t>Ways and Means</w:t>
      </w:r>
    </w:p>
    <w:p w:rsidR="00AD2A6C" w:rsidRDefault="00AD2A6C" w:rsidP="00AD2A6C">
      <w:pPr>
        <w:widowControl w:val="0"/>
        <w:tabs>
          <w:tab w:val="right" w:pos="1008"/>
          <w:tab w:val="left" w:pos="1152"/>
          <w:tab w:val="left" w:pos="1872"/>
          <w:tab w:val="left" w:pos="9187"/>
        </w:tabs>
        <w:ind w:left="2088" w:hanging="2088"/>
        <w:jc w:val="left"/>
      </w:pPr>
      <w:r>
        <w:tab/>
        <w:t>1/14/2014</w:t>
      </w:r>
      <w:r>
        <w:tab/>
        <w:t>House</w:t>
      </w:r>
      <w:r>
        <w:tab/>
      </w:r>
      <w:r w:rsidRPr="00AB574F">
        <w:t>Introduced and read first time (</w:t>
      </w:r>
      <w:hyperlink r:id="rId7" w:history="1">
        <w:r w:rsidRPr="00AB574F">
          <w:rPr>
            <w:rStyle w:val="Hyperlink"/>
          </w:rPr>
          <w:t>House Journal</w:t>
        </w:r>
        <w:r w:rsidRPr="00AB574F">
          <w:rPr>
            <w:rStyle w:val="Hyperlink"/>
          </w:rPr>
          <w:noBreakHyphen/>
          <w:t>page 48</w:t>
        </w:r>
      </w:hyperlink>
      <w:r w:rsidRPr="00AB574F">
        <w:t>)</w:t>
      </w:r>
    </w:p>
    <w:p w:rsidR="00AD2A6C" w:rsidRDefault="00AD2A6C" w:rsidP="00AD2A6C">
      <w:pPr>
        <w:widowControl w:val="0"/>
        <w:tabs>
          <w:tab w:val="right" w:pos="1008"/>
          <w:tab w:val="left" w:pos="1152"/>
          <w:tab w:val="left" w:pos="1872"/>
          <w:tab w:val="left" w:pos="9187"/>
        </w:tabs>
        <w:ind w:left="2088" w:hanging="2088"/>
        <w:jc w:val="left"/>
      </w:pPr>
      <w:r>
        <w:tab/>
        <w:t>1/14/2014</w:t>
      </w:r>
      <w:r>
        <w:tab/>
        <w:t>House</w:t>
      </w:r>
      <w:r>
        <w:tab/>
      </w:r>
      <w:r w:rsidRPr="00AB574F">
        <w:t>Referred</w:t>
      </w:r>
      <w:r>
        <w:t xml:space="preserve"> to Committee on </w:t>
      </w:r>
      <w:r w:rsidRPr="00AB574F">
        <w:rPr>
          <w:b/>
        </w:rPr>
        <w:t>Ways and Means</w:t>
      </w:r>
      <w:r>
        <w:t xml:space="preserve"> </w:t>
      </w:r>
      <w:r w:rsidRPr="00AB574F">
        <w:t>(</w:t>
      </w:r>
      <w:hyperlink r:id="rId8" w:history="1">
        <w:r w:rsidRPr="00AB574F">
          <w:rPr>
            <w:rStyle w:val="Hyperlink"/>
          </w:rPr>
          <w:t>House Journal</w:t>
        </w:r>
        <w:r w:rsidRPr="00AB574F">
          <w:rPr>
            <w:rStyle w:val="Hyperlink"/>
          </w:rPr>
          <w:noBreakHyphen/>
          <w:t>page 48</w:t>
        </w:r>
      </w:hyperlink>
      <w:r w:rsidRPr="00AB574F">
        <w:t>)</w:t>
      </w:r>
    </w:p>
    <w:p w:rsidR="00AD2A6C" w:rsidRDefault="00AD2A6C" w:rsidP="00AD2A6C">
      <w:pPr>
        <w:widowControl w:val="0"/>
        <w:tabs>
          <w:tab w:val="right" w:pos="1008"/>
          <w:tab w:val="left" w:pos="1152"/>
          <w:tab w:val="left" w:pos="1872"/>
          <w:tab w:val="left" w:pos="9187"/>
        </w:tabs>
        <w:ind w:left="2088" w:hanging="2088"/>
        <w:jc w:val="left"/>
      </w:pPr>
    </w:p>
    <w:p w:rsidR="003B0EFD" w:rsidRPr="003B0EFD" w:rsidRDefault="003B0EFD" w:rsidP="003B0EFD">
      <w:pPr>
        <w:widowControl w:val="0"/>
        <w:tabs>
          <w:tab w:val="right" w:pos="1008"/>
          <w:tab w:val="left" w:pos="1152"/>
          <w:tab w:val="left" w:pos="1872"/>
          <w:tab w:val="left" w:pos="9187"/>
        </w:tabs>
        <w:ind w:left="2088" w:hanging="2088"/>
        <w:jc w:val="left"/>
      </w:pPr>
    </w:p>
    <w:p w:rsidR="003B0EFD" w:rsidRDefault="003B0EFD" w:rsidP="003B0EFD">
      <w:pPr>
        <w:widowControl w:val="0"/>
        <w:jc w:val="left"/>
      </w:pPr>
      <w:r w:rsidRPr="003B0EFD">
        <w:rPr>
          <w:b/>
        </w:rPr>
        <w:t>VERSIONS OF THIS BILL</w:t>
      </w:r>
    </w:p>
    <w:p w:rsidR="003B0EFD" w:rsidRDefault="003B0EFD" w:rsidP="003B0EFD">
      <w:pPr>
        <w:widowControl w:val="0"/>
        <w:jc w:val="left"/>
      </w:pPr>
    </w:p>
    <w:p w:rsidR="003B0EFD" w:rsidRDefault="00552F43" w:rsidP="003B0EFD">
      <w:pPr>
        <w:widowControl w:val="0"/>
        <w:jc w:val="left"/>
      </w:pPr>
      <w:hyperlink r:id="rId9" w:history="1">
        <w:r w:rsidR="003B0EFD">
          <w:rPr>
            <w:rStyle w:val="Hyperlink"/>
          </w:rPr>
          <w:t>12/3/2013</w:t>
        </w:r>
      </w:hyperlink>
    </w:p>
    <w:p w:rsidR="003B0EFD" w:rsidRDefault="003B0EFD" w:rsidP="003B0EFD"/>
    <w:p w:rsidR="003B0EFD" w:rsidRDefault="003B0EFD" w:rsidP="003B0EFD">
      <w:pPr>
        <w:sectPr w:rsidR="003B0EFD" w:rsidSect="003B0EFD">
          <w:pgSz w:w="12240" w:h="15840" w:code="1"/>
          <w:pgMar w:top="1080" w:right="1440" w:bottom="1080" w:left="1440" w:header="720" w:footer="720" w:gutter="0"/>
          <w:cols w:space="720"/>
          <w:noEndnote/>
          <w:docGrid w:linePitch="360"/>
        </w:sectPr>
      </w:pPr>
    </w:p>
    <w:p w:rsidR="00FC51CE" w:rsidRDefault="00FC51CE" w:rsidP="00FC51CE">
      <w:pPr>
        <w:pStyle w:val="BillDots"/>
      </w:pPr>
    </w:p>
    <w:p w:rsidR="00FC51CE" w:rsidRDefault="00FC51CE" w:rsidP="00FC51CE">
      <w:pPr>
        <w:pStyle w:val="Numbersforbills"/>
      </w:pPr>
    </w:p>
    <w:p w:rsidR="00FC51CE" w:rsidRDefault="00FC51CE" w:rsidP="00FC5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CE" w:rsidRDefault="00FC51CE" w:rsidP="00FC5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CE" w:rsidRDefault="00FC51CE" w:rsidP="00FC5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CE" w:rsidRDefault="00FC51CE" w:rsidP="00FC5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CE" w:rsidRDefault="00FC51CE" w:rsidP="00FC5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6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5B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3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43</w:t>
      </w:r>
      <w:r>
        <w:noBreakHyphen/>
        <w:t>220, AS AMENDED, CODE OF LAWS OF SOUTH CAROLINA, 1976, RELATING TO THE CLASSIFICATION OF PROPERTY AND THE APPLICABLE ASSESSMENT RATIOS FOR THE VARIOUS CLASSES OF PROPERTY FOR PURPOSES OF IMPOSITION OF THE PROPERTY TAX, SO AS TO DEFINE “LEGALLY SEPARATED” FOR PURPOSES OF THE CERTIFICATE CONTAINED IN THE APPLICATION FOR THE SPECIAL FOUR PERCENT ASSESSMENT RATIO FOR OWNER</w:t>
      </w:r>
      <w:r>
        <w:noBreakHyphen/>
        <w:t>OCCUPIED RESIDENTIAL PROPERTY AND TO REQUIRE ANNUAL REAPPLICATION AND RECERTIFICATION TO MAINTAIN THE SPECIAL FOUR PERCENT ASSESSMENT RATIO FOR CERTAIN SEPARATED SPOUSES.</w:t>
      </w:r>
    </w:p>
    <w:p w:rsidR="00475B74" w:rsidRDefault="00475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5B74" w:rsidRDefault="00475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5B74" w:rsidRDefault="00475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E02" w:rsidRDefault="00475B74"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3E02">
        <w:t>A.</w:t>
      </w:r>
      <w:r w:rsidR="005A3E02">
        <w:tab/>
        <w:t xml:space="preserve"> Section 12</w:t>
      </w:r>
      <w:r w:rsidR="005A3E02">
        <w:noBreakHyphen/>
        <w:t>43</w:t>
      </w:r>
      <w:r w:rsidR="005A3E02">
        <w:noBreakHyphen/>
        <w:t>220(c)(2)(iii) of the 1976 Code, as last amended by Act 76 of 2009, is further amended to read:</w:t>
      </w: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 xml:space="preserve">“(iii) </w:t>
      </w:r>
      <w:r w:rsidRPr="00BC1AD3">
        <w:rPr>
          <w:color w:val="000000" w:themeColor="text1"/>
          <w:u w:color="000000" w:themeColor="text1"/>
        </w:rPr>
        <w:t>For purposes of subitem (ii)</w:t>
      </w:r>
      <w:r w:rsidRPr="00E344AF">
        <w:rPr>
          <w:strike/>
          <w:color w:val="000000" w:themeColor="text1"/>
          <w:u w:color="000000" w:themeColor="text1"/>
        </w:rPr>
        <w:t>(B)</w:t>
      </w:r>
      <w:r w:rsidRPr="00BC1AD3">
        <w:rPr>
          <w:color w:val="000000" w:themeColor="text1"/>
          <w:u w:color="000000" w:themeColor="text1"/>
        </w:rPr>
        <w:t xml:space="preserve"> of this item</w:t>
      </w:r>
      <w:r w:rsidRPr="0063304B">
        <w:rPr>
          <w:strike/>
          <w:color w:val="000000" w:themeColor="text1"/>
          <w:u w:color="000000" w:themeColor="text1"/>
        </w:rPr>
        <w:t>,</w:t>
      </w:r>
      <w:r>
        <w:rPr>
          <w:color w:val="000000" w:themeColor="text1"/>
          <w:u w:val="single" w:color="000000" w:themeColor="text1"/>
        </w:rPr>
        <w:t>:</w:t>
      </w: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B64">
        <w:rPr>
          <w:color w:val="000000" w:themeColor="text1"/>
          <w:u w:color="000000" w:themeColor="text1"/>
        </w:rPr>
        <w:tab/>
      </w:r>
      <w:r w:rsidRPr="00E21B64">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5A3E02">
        <w:rPr>
          <w:color w:val="000000" w:themeColor="text1"/>
          <w:u w:color="000000" w:themeColor="text1"/>
        </w:rPr>
        <w:t>‘</w:t>
      </w:r>
      <w:r>
        <w:rPr>
          <w:color w:val="000000" w:themeColor="text1"/>
          <w:u w:color="000000" w:themeColor="text1"/>
        </w:rPr>
        <w:t>a member of my household</w:t>
      </w:r>
      <w:r w:rsidRPr="005A3E02">
        <w:rPr>
          <w:color w:val="000000" w:themeColor="text1"/>
          <w:u w:color="000000" w:themeColor="text1"/>
        </w:rPr>
        <w:t>’</w:t>
      </w:r>
      <w:r w:rsidRPr="00BC1AD3">
        <w:rPr>
          <w:color w:val="000000" w:themeColor="text1"/>
          <w:u w:color="000000" w:themeColor="text1"/>
        </w:rPr>
        <w:t xml:space="preserve"> means: </w:t>
      </w:r>
    </w:p>
    <w:p w:rsidR="005A3E02" w:rsidRPr="00BC1AD3"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304B">
        <w:rPr>
          <w:strike/>
          <w:color w:val="000000" w:themeColor="text1"/>
          <w:u w:color="000000" w:themeColor="text1"/>
        </w:rPr>
        <w:t>(A)</w:t>
      </w:r>
      <w:r>
        <w:rPr>
          <w:color w:val="000000" w:themeColor="text1"/>
          <w:u w:val="single" w:color="000000" w:themeColor="text1"/>
        </w:rPr>
        <w:t>(1)</w:t>
      </w:r>
      <w:r>
        <w:rPr>
          <w:color w:val="000000" w:themeColor="text1"/>
          <w:u w:color="000000" w:themeColor="text1"/>
        </w:rPr>
        <w:tab/>
      </w:r>
      <w:r w:rsidRPr="00BC1AD3">
        <w:rPr>
          <w:color w:val="000000" w:themeColor="text1"/>
          <w:u w:color="000000" w:themeColor="text1"/>
        </w:rPr>
        <w:t>the owner</w:t>
      </w:r>
      <w:r>
        <w:rPr>
          <w:color w:val="000000" w:themeColor="text1"/>
          <w:u w:color="000000" w:themeColor="text1"/>
        </w:rPr>
        <w:noBreakHyphen/>
      </w:r>
      <w:r w:rsidRPr="00BC1AD3">
        <w:rPr>
          <w:color w:val="000000" w:themeColor="text1"/>
          <w:u w:color="000000" w:themeColor="text1"/>
        </w:rPr>
        <w:t>occupant</w:t>
      </w:r>
      <w:r w:rsidRPr="005A3E02">
        <w:rPr>
          <w:color w:val="000000" w:themeColor="text1"/>
          <w:u w:color="000000" w:themeColor="text1"/>
        </w:rPr>
        <w:t>’</w:t>
      </w:r>
      <w:r w:rsidRPr="00BC1AD3">
        <w:rPr>
          <w:color w:val="000000" w:themeColor="text1"/>
          <w:u w:color="000000" w:themeColor="text1"/>
        </w:rPr>
        <w:t>s spouse, except when that spouse is legally separated from the owner</w:t>
      </w:r>
      <w:r>
        <w:rPr>
          <w:color w:val="000000" w:themeColor="text1"/>
          <w:u w:color="000000" w:themeColor="text1"/>
        </w:rPr>
        <w:noBreakHyphen/>
        <w:t xml:space="preserve">occupant; </w:t>
      </w:r>
      <w:r w:rsidRPr="00BC1AD3">
        <w:rPr>
          <w:color w:val="000000" w:themeColor="text1"/>
          <w:u w:color="000000" w:themeColor="text1"/>
        </w:rPr>
        <w:t xml:space="preserve">and </w:t>
      </w: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304B">
        <w:rPr>
          <w:strike/>
          <w:color w:val="000000" w:themeColor="text1"/>
          <w:u w:color="000000" w:themeColor="text1"/>
        </w:rPr>
        <w:t>(B)</w:t>
      </w:r>
      <w:r>
        <w:rPr>
          <w:color w:val="000000" w:themeColor="text1"/>
          <w:u w:val="single" w:color="000000" w:themeColor="text1"/>
        </w:rPr>
        <w:t>(2)</w:t>
      </w:r>
      <w:r>
        <w:rPr>
          <w:color w:val="000000" w:themeColor="text1"/>
          <w:u w:color="000000" w:themeColor="text1"/>
        </w:rPr>
        <w:tab/>
      </w:r>
      <w:r w:rsidRPr="00BC1AD3">
        <w:rPr>
          <w:color w:val="000000" w:themeColor="text1"/>
          <w:u w:color="000000" w:themeColor="text1"/>
        </w:rPr>
        <w:t>any child under the age of eighteen years of the owner</w:t>
      </w:r>
      <w:r>
        <w:rPr>
          <w:color w:val="000000" w:themeColor="text1"/>
          <w:u w:color="000000" w:themeColor="text1"/>
        </w:rPr>
        <w:noBreakHyphen/>
      </w:r>
      <w:r w:rsidRPr="00BC1AD3">
        <w:rPr>
          <w:color w:val="000000" w:themeColor="text1"/>
          <w:u w:color="000000" w:themeColor="text1"/>
        </w:rPr>
        <w:t>occupant claimed or eligible to be claimed as a dependent on the owner</w:t>
      </w:r>
      <w:r>
        <w:rPr>
          <w:color w:val="000000" w:themeColor="text1"/>
          <w:u w:color="000000" w:themeColor="text1"/>
        </w:rPr>
        <w:noBreakHyphen/>
      </w:r>
      <w:r w:rsidRPr="00BC1AD3">
        <w:rPr>
          <w:color w:val="000000" w:themeColor="text1"/>
          <w:u w:color="000000" w:themeColor="text1"/>
        </w:rPr>
        <w:t>occupant</w:t>
      </w:r>
      <w:r w:rsidRPr="005A3E02">
        <w:rPr>
          <w:color w:val="000000" w:themeColor="text1"/>
          <w:u w:color="000000" w:themeColor="text1"/>
        </w:rPr>
        <w:t>’</w:t>
      </w:r>
      <w:r w:rsidRPr="00BC1AD3">
        <w:rPr>
          <w:color w:val="000000" w:themeColor="text1"/>
          <w:u w:color="000000" w:themeColor="text1"/>
        </w:rPr>
        <w:t>s federal income tax return</w:t>
      </w:r>
      <w:r>
        <w:rPr>
          <w:color w:val="000000" w:themeColor="text1"/>
          <w:u w:val="single" w:color="000000" w:themeColor="text1"/>
        </w:rPr>
        <w:t>;</w:t>
      </w: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20B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sidRPr="004D20BD">
        <w:rPr>
          <w:color w:val="000000" w:themeColor="text1"/>
          <w:u w:color="000000" w:themeColor="text1"/>
        </w:rPr>
        <w:tab/>
      </w:r>
      <w:r w:rsidRPr="005A3E02">
        <w:rPr>
          <w:color w:val="000000" w:themeColor="text1"/>
          <w:u w:val="single" w:color="000000" w:themeColor="text1"/>
        </w:rPr>
        <w:t>‘</w:t>
      </w:r>
      <w:r>
        <w:rPr>
          <w:color w:val="000000" w:themeColor="text1"/>
          <w:u w:val="single" w:color="000000" w:themeColor="text1"/>
        </w:rPr>
        <w:t>legally separated</w:t>
      </w:r>
      <w:r w:rsidRPr="005A3E02">
        <w:rPr>
          <w:color w:val="000000" w:themeColor="text1"/>
          <w:u w:val="single" w:color="000000" w:themeColor="text1"/>
        </w:rPr>
        <w:t>’</w:t>
      </w:r>
      <w:r>
        <w:rPr>
          <w:color w:val="000000" w:themeColor="text1"/>
          <w:u w:val="single" w:color="000000" w:themeColor="text1"/>
        </w:rPr>
        <w:t xml:space="preserve"> means:</w:t>
      </w: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20BD">
        <w:rPr>
          <w:color w:val="000000" w:themeColor="text1"/>
          <w:u w:color="000000" w:themeColor="text1"/>
        </w:rPr>
        <w:tab/>
      </w:r>
      <w:r>
        <w:rPr>
          <w:color w:val="000000" w:themeColor="text1"/>
          <w:u w:color="000000" w:themeColor="text1"/>
        </w:rPr>
        <w:tab/>
      </w:r>
      <w:r>
        <w:rPr>
          <w:color w:val="000000" w:themeColor="text1"/>
          <w:u w:color="000000" w:themeColor="text1"/>
        </w:rPr>
        <w:tab/>
      </w:r>
      <w:r w:rsidRPr="004D20BD">
        <w:rPr>
          <w:color w:val="000000" w:themeColor="text1"/>
          <w:u w:color="000000" w:themeColor="text1"/>
        </w:rPr>
        <w:tab/>
      </w:r>
      <w:r>
        <w:rPr>
          <w:color w:val="000000" w:themeColor="text1"/>
          <w:u w:val="single" w:color="000000" w:themeColor="text1"/>
        </w:rPr>
        <w:t>(1)</w:t>
      </w:r>
      <w:r w:rsidRPr="004D20BD">
        <w:rPr>
          <w:color w:val="000000" w:themeColor="text1"/>
          <w:u w:color="000000" w:themeColor="text1"/>
        </w:rPr>
        <w:tab/>
      </w:r>
      <w:r>
        <w:rPr>
          <w:color w:val="000000" w:themeColor="text1"/>
          <w:u w:val="single" w:color="000000" w:themeColor="text1"/>
        </w:rPr>
        <w:t>living apart pursuant to a separation agreement approved by or otherwise filed with a court of competent jurisdiction; or</w:t>
      </w: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20BD">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4D20BD">
        <w:rPr>
          <w:color w:val="000000" w:themeColor="text1"/>
          <w:u w:color="000000" w:themeColor="text1"/>
        </w:rPr>
        <w:tab/>
      </w:r>
      <w:r>
        <w:rPr>
          <w:color w:val="000000" w:themeColor="text1"/>
          <w:u w:val="single" w:color="000000" w:themeColor="text1"/>
        </w:rPr>
        <w:t>(2)</w:t>
      </w:r>
      <w:r w:rsidRPr="004D20BD">
        <w:rPr>
          <w:color w:val="000000" w:themeColor="text1"/>
          <w:u w:color="000000" w:themeColor="text1"/>
        </w:rPr>
        <w:tab/>
      </w:r>
      <w:r>
        <w:rPr>
          <w:color w:val="000000" w:themeColor="text1"/>
          <w:u w:val="single" w:color="000000" w:themeColor="text1"/>
        </w:rPr>
        <w:t>the individual claiming the special four percent assessment ratio allowed by this item (c) has filed an affidavit with the county assessor that the individual</w:t>
      </w:r>
      <w:r w:rsidRPr="005A3E02">
        <w:rPr>
          <w:color w:val="000000" w:themeColor="text1"/>
          <w:u w:val="single" w:color="000000" w:themeColor="text1"/>
        </w:rPr>
        <w:t>’</w:t>
      </w:r>
      <w:r>
        <w:rPr>
          <w:color w:val="000000" w:themeColor="text1"/>
          <w:u w:val="single" w:color="000000" w:themeColor="text1"/>
        </w:rPr>
        <w:t>s spouse no longer resides in the residence, that the maker of the affidavit has no knowledge of the whereabouts of the absent spouse, and the maker of the affidavit has not filed a joint federal income tax return with the absent spouse since that spouse abandoned the residence.</w:t>
      </w: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1D4">
        <w:rPr>
          <w:color w:val="000000" w:themeColor="text1"/>
          <w:u w:color="000000" w:themeColor="text1"/>
        </w:rPr>
        <w:tab/>
      </w:r>
      <w:r>
        <w:rPr>
          <w:color w:val="000000" w:themeColor="text1"/>
          <w:u w:val="single" w:color="000000" w:themeColor="text1"/>
        </w:rPr>
        <w:t>If a separated couple receiving the special four percent assessment ratio on a residence occupied by each of them while separated as defined in this subitem subsequently reconcile, the provisions of this subsubitem no longer apply.  In that instance, the spouse vacating a residence receiving the special four percent assessment on the eligibility of the vacating spouse, unless that spouse has transferred the ownership interest in the property resulting in an assessable transfer of interest, shall notify the county assessor in writing within  six months of vacating that residence that the residence is no longer eligible for the special four percent assessment ratio.  Failure to provide timely notice to the assessor subjects the owner to the provisions of subsubitem (vii) of this item</w:t>
      </w:r>
      <w:r>
        <w:rPr>
          <w:color w:val="000000" w:themeColor="text1"/>
          <w:u w:color="000000" w:themeColor="text1"/>
        </w:rPr>
        <w:t>.”</w:t>
      </w: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12</w:t>
      </w:r>
      <w:r>
        <w:rPr>
          <w:color w:val="000000" w:themeColor="text1"/>
          <w:u w:color="000000" w:themeColor="text1"/>
        </w:rPr>
        <w:noBreakHyphen/>
        <w:t>43</w:t>
      </w:r>
      <w:r>
        <w:rPr>
          <w:color w:val="000000" w:themeColor="text1"/>
          <w:u w:color="000000" w:themeColor="text1"/>
        </w:rPr>
        <w:noBreakHyphen/>
        <w:t>220(c)(2) of the 1976 Code, as last amended by Act 179 of 2012, is further amended by adding at the end:</w:t>
      </w: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“(ix)</w:t>
      </w:r>
      <w:r>
        <w:rPr>
          <w:color w:val="000000" w:themeColor="text1"/>
          <w:u w:color="000000" w:themeColor="text1"/>
        </w:rPr>
        <w:tab/>
        <w:t xml:space="preserve">An applicant for the special four percent </w:t>
      </w:r>
      <w:r w:rsidR="001A56EE">
        <w:rPr>
          <w:color w:val="000000" w:themeColor="text1"/>
          <w:u w:color="000000" w:themeColor="text1"/>
        </w:rPr>
        <w:t xml:space="preserve">assessment </w:t>
      </w:r>
      <w:r>
        <w:rPr>
          <w:color w:val="000000" w:themeColor="text1"/>
          <w:u w:color="000000" w:themeColor="text1"/>
        </w:rPr>
        <w:t xml:space="preserve">ratio allowed pursuant to this item (c) who is both separated from his spouse and eligible, pursuant to subsubitem (iii)(A) of this item, must reapply and recertify annually to maintain the special four percent assessment ratio until the applicant has been granted a </w:t>
      </w:r>
      <w:r w:rsidR="001A56EE">
        <w:rPr>
          <w:color w:val="000000" w:themeColor="text1"/>
          <w:u w:color="000000" w:themeColor="text1"/>
        </w:rPr>
        <w:t>divorc</w:t>
      </w:r>
      <w:r>
        <w:rPr>
          <w:color w:val="000000" w:themeColor="text1"/>
          <w:u w:color="000000" w:themeColor="text1"/>
        </w:rPr>
        <w:t>e by a court of competent jurisdiction or the applicant has re</w:t>
      </w:r>
      <w:r w:rsidR="001A56EE">
        <w:rPr>
          <w:color w:val="000000" w:themeColor="text1"/>
          <w:u w:color="000000" w:themeColor="text1"/>
        </w:rPr>
        <w:t>conciled</w:t>
      </w:r>
      <w:r>
        <w:rPr>
          <w:color w:val="000000" w:themeColor="text1"/>
          <w:u w:color="000000" w:themeColor="text1"/>
        </w:rPr>
        <w:t xml:space="preserve"> with the spouse from whom he separated.”</w:t>
      </w: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3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E6F69" w:rsidRDefault="005A3E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6F69" w:rsidRDefault="005E6F69" w:rsidP="003B0EFD">
      <w:pPr>
        <w:suppressAutoHyphens/>
      </w:pPr>
    </w:p>
    <w:sectPr w:rsidR="005E6F69" w:rsidSect="003B0E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B74" w:rsidRDefault="00475B74" w:rsidP="009F0C77">
      <w:r>
        <w:separator/>
      </w:r>
    </w:p>
  </w:endnote>
  <w:endnote w:type="continuationSeparator" w:id="0">
    <w:p w:rsidR="00475B74" w:rsidRDefault="00475B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C21E7C-1240-46DF-A60A-18058039EF50}"/>
    <w:embedBold r:id="rId2" w:fontKey="{32CDD393-6BD3-4B6F-A139-45C509A076CA}"/>
  </w:font>
  <w:font w:name="Calibri">
    <w:panose1 w:val="020F0502020204030204"/>
    <w:charset w:val="00"/>
    <w:family w:val="swiss"/>
    <w:pitch w:val="variable"/>
    <w:sig w:usb0="E10002FF" w:usb1="4000ACFF" w:usb2="00000009" w:usb3="00000000" w:csb0="0000019F" w:csb1="00000000"/>
    <w:embedRegular r:id="rId3" w:fontKey="{70BEB92F-1043-487C-A90E-BBB8E54D0A39}"/>
  </w:font>
  <w:font w:name="Cambria">
    <w:panose1 w:val="02040503050406030204"/>
    <w:charset w:val="00"/>
    <w:family w:val="roman"/>
    <w:pitch w:val="variable"/>
    <w:sig w:usb0="E00002FF" w:usb1="400004FF" w:usb2="00000000" w:usb3="00000000" w:csb0="0000019F" w:csb1="00000000"/>
    <w:embedRegular r:id="rId4" w:fontKey="{9405FBC9-8787-46F5-969F-55C36D7C54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EFD" w:rsidRPr="005E6F69" w:rsidRDefault="003B0EFD" w:rsidP="005E6F69">
    <w:pPr>
      <w:pStyle w:val="Footer"/>
      <w:tabs>
        <w:tab w:val="clear" w:pos="4680"/>
        <w:tab w:val="clear" w:pos="9360"/>
        <w:tab w:val="center" w:pos="2995"/>
      </w:tabs>
      <w:spacing w:before="120"/>
    </w:pPr>
    <w:r>
      <w:t>[4363]</w:t>
    </w:r>
    <w:r>
      <w:tab/>
    </w:r>
    <w:r w:rsidR="00DC3074">
      <w:fldChar w:fldCharType="begin"/>
    </w:r>
    <w:r w:rsidR="00DC3074">
      <w:instrText xml:space="preserve"> PAGE  \* MERGEFORMAT </w:instrText>
    </w:r>
    <w:r w:rsidR="00DC3074">
      <w:fldChar w:fldCharType="separate"/>
    </w:r>
    <w:r w:rsidR="00552F43">
      <w:rPr>
        <w:noProof/>
      </w:rPr>
      <w:t>1</w:t>
    </w:r>
    <w:r w:rsidR="00DC307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B74" w:rsidRDefault="00475B74" w:rsidP="009F0C77">
      <w:r>
        <w:separator/>
      </w:r>
    </w:p>
  </w:footnote>
  <w:footnote w:type="continuationSeparator" w:id="0">
    <w:p w:rsidR="00475B74" w:rsidRDefault="00475B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69HTC14"/>
    <w:docVar w:name="CoverBillType" w:val="b"/>
    <w:docVar w:name="docpath" w:val="L:\Council\bills\BBM\10969HTC14.DOCX"/>
    <w:docVar w:name="dvBillNumber" w:val="4363"/>
    <w:docVar w:name="dvBillNumberPrefix" w:val="H. "/>
    <w:docVar w:name="dvOriginalBody" w:val="House"/>
    <w:docVar w:name="dvSteno" w:val="BBM"/>
    <w:docVar w:name="NameofBody" w:val="h"/>
    <w:docVar w:name="vgroup2" w:val="Council"/>
  </w:docVars>
  <w:rsids>
    <w:rsidRoot w:val="00E1272E"/>
    <w:rsid w:val="00011869"/>
    <w:rsid w:val="0006252E"/>
    <w:rsid w:val="000E1785"/>
    <w:rsid w:val="000F40FA"/>
    <w:rsid w:val="0010776B"/>
    <w:rsid w:val="00133E66"/>
    <w:rsid w:val="001435A3"/>
    <w:rsid w:val="001A56EE"/>
    <w:rsid w:val="001D08F2"/>
    <w:rsid w:val="001D525B"/>
    <w:rsid w:val="001D7F4F"/>
    <w:rsid w:val="001E7BB0"/>
    <w:rsid w:val="002321B6"/>
    <w:rsid w:val="00250967"/>
    <w:rsid w:val="002543C8"/>
    <w:rsid w:val="00284AAE"/>
    <w:rsid w:val="002E5912"/>
    <w:rsid w:val="00301B21"/>
    <w:rsid w:val="00325348"/>
    <w:rsid w:val="0032732C"/>
    <w:rsid w:val="00336AD0"/>
    <w:rsid w:val="0037079A"/>
    <w:rsid w:val="003B0EFD"/>
    <w:rsid w:val="003D01E8"/>
    <w:rsid w:val="003E161F"/>
    <w:rsid w:val="003E5288"/>
    <w:rsid w:val="003F6D79"/>
    <w:rsid w:val="0041760A"/>
    <w:rsid w:val="00417C01"/>
    <w:rsid w:val="00475B74"/>
    <w:rsid w:val="004809EE"/>
    <w:rsid w:val="004E7D54"/>
    <w:rsid w:val="005273C6"/>
    <w:rsid w:val="00530A69"/>
    <w:rsid w:val="00545593"/>
    <w:rsid w:val="00552F43"/>
    <w:rsid w:val="00577C6C"/>
    <w:rsid w:val="005A3E02"/>
    <w:rsid w:val="005C2FE2"/>
    <w:rsid w:val="005E2BC9"/>
    <w:rsid w:val="005E6F69"/>
    <w:rsid w:val="00605102"/>
    <w:rsid w:val="006215AA"/>
    <w:rsid w:val="006913C9"/>
    <w:rsid w:val="0069470D"/>
    <w:rsid w:val="006B2BEF"/>
    <w:rsid w:val="00734F00"/>
    <w:rsid w:val="007A4182"/>
    <w:rsid w:val="007A70AE"/>
    <w:rsid w:val="008362E8"/>
    <w:rsid w:val="008A1768"/>
    <w:rsid w:val="008F0F33"/>
    <w:rsid w:val="008F4429"/>
    <w:rsid w:val="0094021A"/>
    <w:rsid w:val="009752A0"/>
    <w:rsid w:val="009B44AF"/>
    <w:rsid w:val="009C6A0B"/>
    <w:rsid w:val="009F0C77"/>
    <w:rsid w:val="009F4DD1"/>
    <w:rsid w:val="00A41684"/>
    <w:rsid w:val="00A64E80"/>
    <w:rsid w:val="00A72BCD"/>
    <w:rsid w:val="00A741D9"/>
    <w:rsid w:val="00A833AB"/>
    <w:rsid w:val="00A9741D"/>
    <w:rsid w:val="00AD2A6C"/>
    <w:rsid w:val="00AD4B17"/>
    <w:rsid w:val="00B04C9D"/>
    <w:rsid w:val="00B412D4"/>
    <w:rsid w:val="00BE3C22"/>
    <w:rsid w:val="00C0345E"/>
    <w:rsid w:val="00C3483A"/>
    <w:rsid w:val="00C74E9D"/>
    <w:rsid w:val="00C82FD3"/>
    <w:rsid w:val="00C92819"/>
    <w:rsid w:val="00CB2632"/>
    <w:rsid w:val="00CC6B7B"/>
    <w:rsid w:val="00CD2089"/>
    <w:rsid w:val="00D6285A"/>
    <w:rsid w:val="00D73A67"/>
    <w:rsid w:val="00D970A9"/>
    <w:rsid w:val="00DC3074"/>
    <w:rsid w:val="00DF3845"/>
    <w:rsid w:val="00DF520D"/>
    <w:rsid w:val="00E1272E"/>
    <w:rsid w:val="00E41911"/>
    <w:rsid w:val="00E92EEF"/>
    <w:rsid w:val="00E966DB"/>
    <w:rsid w:val="00EE0859"/>
    <w:rsid w:val="00F24442"/>
    <w:rsid w:val="00F50AE3"/>
    <w:rsid w:val="00F67CF1"/>
    <w:rsid w:val="00F840F0"/>
    <w:rsid w:val="00FB0D0D"/>
    <w:rsid w:val="00FB43B4"/>
    <w:rsid w:val="00FC51CE"/>
    <w:rsid w:val="00FD7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8591B4-266E-4FDA-B1A7-AB025848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B0E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63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4B6E4-F17C-4774-978B-5764DE446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604</Words>
  <Characters>3449</Characters>
  <Application>Microsoft Office Word</Application>
  <DocSecurity>0</DocSecurity>
  <Lines>28</Lines>
  <Paragraphs>8</Paragraphs>
  <ScaleCrop>false</ScaleCrop>
  <Company>LPITS</Company>
  <LinksUpToDate>false</LinksUpToDate>
  <CharactersWithSpaces>4045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4363: Property tax - South Carolina Legislature Online</dc:title>
  <dc:creator>BRENDA MELTON</dc:creator>
  <cp:lastModifiedBy>N Cumfer</cp:lastModifiedBy>
  <cp:revision>7</cp:revision>
  <cp:lastPrinted>2013-12-02T16:45:00Z</cp:lastPrinted>
  <dcterms:created xsi:type="dcterms:W3CDTF">2013-12-03T20:47:00Z</dcterms:created>
  <dcterms:modified xsi:type="dcterms:W3CDTF">2014-12-05T16:54:00Z</dcterms:modified>
</cp:coreProperties>
</file>