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097" w:rsidRDefault="000C0097" w:rsidP="000C0097">
      <w:pPr>
        <w:widowControl w:val="0"/>
        <w:jc w:val="center"/>
      </w:pPr>
      <w:r w:rsidRPr="000C0097">
        <w:rPr>
          <w:b/>
        </w:rPr>
        <w:t>South Carolina General Assembly</w:t>
      </w:r>
    </w:p>
    <w:p w:rsidR="000C0097" w:rsidRDefault="000C0097" w:rsidP="000C0097">
      <w:pPr>
        <w:widowControl w:val="0"/>
        <w:jc w:val="center"/>
      </w:pPr>
      <w:r>
        <w:t>120th Session, 2013-2014</w:t>
      </w:r>
    </w:p>
    <w:p w:rsidR="000C0097" w:rsidRDefault="000C0097" w:rsidP="000C0097">
      <w:pPr>
        <w:widowControl w:val="0"/>
        <w:jc w:val="left"/>
      </w:pPr>
    </w:p>
    <w:p w:rsidR="000C0097" w:rsidRDefault="000C0097" w:rsidP="000C0097">
      <w:pPr>
        <w:widowControl w:val="0"/>
        <w:jc w:val="left"/>
        <w:rPr>
          <w:b/>
        </w:rPr>
      </w:pPr>
      <w:r w:rsidRPr="000C0097">
        <w:rPr>
          <w:b/>
        </w:rPr>
        <w:t>H. 4492</w:t>
      </w:r>
    </w:p>
    <w:p w:rsidR="000C0097" w:rsidRDefault="000C0097" w:rsidP="000C0097">
      <w:pPr>
        <w:widowControl w:val="0"/>
        <w:jc w:val="left"/>
        <w:rPr>
          <w:b/>
        </w:rPr>
      </w:pPr>
    </w:p>
    <w:p w:rsidR="000C0097" w:rsidRDefault="000C0097" w:rsidP="000C0097">
      <w:pPr>
        <w:widowControl w:val="0"/>
        <w:jc w:val="left"/>
      </w:pPr>
      <w:r w:rsidRPr="000C0097">
        <w:rPr>
          <w:b/>
        </w:rPr>
        <w:t>STATUS INFORMATION</w:t>
      </w:r>
    </w:p>
    <w:p w:rsidR="000C0097" w:rsidRDefault="000C0097" w:rsidP="000C0097">
      <w:pPr>
        <w:widowControl w:val="0"/>
        <w:jc w:val="left"/>
      </w:pPr>
    </w:p>
    <w:p w:rsidR="000C0097" w:rsidRDefault="000C0097" w:rsidP="000C0097">
      <w:pPr>
        <w:widowControl w:val="0"/>
        <w:jc w:val="left"/>
      </w:pPr>
      <w:r>
        <w:t>General Bill</w:t>
      </w:r>
    </w:p>
    <w:p w:rsidR="000C0097" w:rsidRDefault="006643FE" w:rsidP="000C0097">
      <w:pPr>
        <w:widowControl w:val="0"/>
        <w:jc w:val="left"/>
      </w:pPr>
      <w:r>
        <w:t>Sponsors: Reps. Sandifer, White and Gambrell</w:t>
      </w:r>
    </w:p>
    <w:p w:rsidR="000C0097" w:rsidRDefault="000C0097" w:rsidP="000C0097">
      <w:pPr>
        <w:widowControl w:val="0"/>
        <w:jc w:val="left"/>
      </w:pPr>
      <w:r>
        <w:t>Document Path: l:\council\bills\bbm\10965htc14.docx</w:t>
      </w:r>
    </w:p>
    <w:p w:rsidR="000C0097" w:rsidRDefault="000C0097" w:rsidP="000C0097">
      <w:pPr>
        <w:widowControl w:val="0"/>
        <w:jc w:val="left"/>
      </w:pPr>
    </w:p>
    <w:p w:rsidR="000C0097" w:rsidRDefault="000C0097" w:rsidP="000C0097">
      <w:pPr>
        <w:widowControl w:val="0"/>
        <w:jc w:val="left"/>
      </w:pPr>
      <w:r>
        <w:t>Introduced in the House on January 15, 2014</w:t>
      </w:r>
    </w:p>
    <w:p w:rsidR="000C0097" w:rsidRDefault="000C0097" w:rsidP="000C0097">
      <w:pPr>
        <w:widowControl w:val="0"/>
        <w:jc w:val="left"/>
      </w:pPr>
      <w:r>
        <w:t xml:space="preserve">Currently residing in the House Committee on </w:t>
      </w:r>
      <w:r w:rsidRPr="000C0097">
        <w:rPr>
          <w:b/>
        </w:rPr>
        <w:t>Ways and Means</w:t>
      </w:r>
    </w:p>
    <w:p w:rsidR="000C0097" w:rsidRDefault="000C0097" w:rsidP="000C0097">
      <w:pPr>
        <w:widowControl w:val="0"/>
        <w:jc w:val="left"/>
      </w:pPr>
    </w:p>
    <w:p w:rsidR="000C0097" w:rsidRDefault="000C0097" w:rsidP="000C0097">
      <w:pPr>
        <w:widowControl w:val="0"/>
        <w:jc w:val="left"/>
      </w:pPr>
      <w:r>
        <w:t xml:space="preserve">Summary: </w:t>
      </w:r>
      <w:r w:rsidR="00807E3D">
        <w:t>Ad Valorem Tax</w:t>
      </w:r>
    </w:p>
    <w:p w:rsidR="000C0097" w:rsidRDefault="000C0097" w:rsidP="000C0097">
      <w:pPr>
        <w:widowControl w:val="0"/>
        <w:jc w:val="left"/>
      </w:pPr>
    </w:p>
    <w:p w:rsidR="000C0097" w:rsidRDefault="000C0097" w:rsidP="000C0097">
      <w:pPr>
        <w:widowControl w:val="0"/>
        <w:jc w:val="left"/>
      </w:pPr>
    </w:p>
    <w:p w:rsidR="000C0097" w:rsidRDefault="000C0097" w:rsidP="000C0097">
      <w:pPr>
        <w:widowControl w:val="0"/>
        <w:tabs>
          <w:tab w:val="center" w:pos="590"/>
          <w:tab w:val="center" w:pos="1440"/>
          <w:tab w:val="left" w:pos="1872"/>
          <w:tab w:val="left" w:pos="9187"/>
        </w:tabs>
        <w:jc w:val="left"/>
      </w:pPr>
      <w:r w:rsidRPr="000C0097">
        <w:rPr>
          <w:b/>
        </w:rPr>
        <w:t>HISTORY OF LEGISLATIVE ACTIONS</w:t>
      </w:r>
    </w:p>
    <w:p w:rsidR="000C0097" w:rsidRDefault="000C0097" w:rsidP="000C0097">
      <w:pPr>
        <w:widowControl w:val="0"/>
        <w:tabs>
          <w:tab w:val="center" w:pos="590"/>
          <w:tab w:val="center" w:pos="1440"/>
          <w:tab w:val="left" w:pos="1872"/>
          <w:tab w:val="left" w:pos="9187"/>
        </w:tabs>
        <w:jc w:val="left"/>
      </w:pPr>
    </w:p>
    <w:p w:rsidR="000C0097" w:rsidRPr="000C0097" w:rsidRDefault="000C0097" w:rsidP="000C0097">
      <w:pPr>
        <w:widowControl w:val="0"/>
        <w:tabs>
          <w:tab w:val="center" w:pos="590"/>
          <w:tab w:val="center" w:pos="1440"/>
          <w:tab w:val="left" w:pos="1872"/>
          <w:tab w:val="left" w:pos="9187"/>
        </w:tabs>
        <w:jc w:val="left"/>
      </w:pPr>
      <w:r w:rsidRPr="000C0097">
        <w:rPr>
          <w:u w:val="single"/>
        </w:rPr>
        <w:tab/>
        <w:t>Date</w:t>
      </w:r>
      <w:r w:rsidRPr="000C0097">
        <w:rPr>
          <w:u w:val="single"/>
        </w:rPr>
        <w:tab/>
        <w:t>Body</w:t>
      </w:r>
      <w:r w:rsidRPr="000C0097">
        <w:rPr>
          <w:u w:val="single"/>
        </w:rPr>
        <w:tab/>
        <w:t>Action Description with journal page number</w:t>
      </w:r>
      <w:r w:rsidRPr="000C0097">
        <w:rPr>
          <w:u w:val="single"/>
        </w:rPr>
        <w:tab/>
      </w:r>
      <w:bookmarkStart w:id="0" w:name="_GoBack"/>
      <w:bookmarkEnd w:id="0"/>
    </w:p>
    <w:p w:rsidR="00AF58D3" w:rsidRDefault="00AF58D3" w:rsidP="00AF58D3">
      <w:pPr>
        <w:widowControl w:val="0"/>
        <w:tabs>
          <w:tab w:val="right" w:pos="1008"/>
          <w:tab w:val="left" w:pos="1152"/>
          <w:tab w:val="left" w:pos="1872"/>
          <w:tab w:val="left" w:pos="9187"/>
        </w:tabs>
        <w:ind w:left="2088" w:hanging="2088"/>
        <w:jc w:val="left"/>
      </w:pPr>
      <w:r>
        <w:tab/>
        <w:t>1/15/2014</w:t>
      </w:r>
      <w:r>
        <w:tab/>
        <w:t>House</w:t>
      </w:r>
      <w:r>
        <w:tab/>
      </w:r>
      <w:r w:rsidRPr="006F0DE5">
        <w:t>Introduced and read first time (</w:t>
      </w:r>
      <w:hyperlink r:id="rId7" w:history="1">
        <w:r w:rsidRPr="006F0DE5">
          <w:rPr>
            <w:rStyle w:val="Hyperlink"/>
          </w:rPr>
          <w:t>House Journal</w:t>
        </w:r>
        <w:r w:rsidRPr="006F0DE5">
          <w:rPr>
            <w:rStyle w:val="Hyperlink"/>
          </w:rPr>
          <w:noBreakHyphen/>
          <w:t>page 24</w:t>
        </w:r>
      </w:hyperlink>
      <w:r w:rsidRPr="006F0DE5">
        <w:t>)</w:t>
      </w:r>
    </w:p>
    <w:p w:rsidR="00AF58D3" w:rsidRDefault="00AF58D3" w:rsidP="00AF58D3">
      <w:pPr>
        <w:widowControl w:val="0"/>
        <w:tabs>
          <w:tab w:val="right" w:pos="1008"/>
          <w:tab w:val="left" w:pos="1152"/>
          <w:tab w:val="left" w:pos="1872"/>
          <w:tab w:val="left" w:pos="9187"/>
        </w:tabs>
        <w:ind w:left="2088" w:hanging="2088"/>
        <w:jc w:val="left"/>
      </w:pPr>
      <w:r>
        <w:tab/>
        <w:t>1/15/2014</w:t>
      </w:r>
      <w:r>
        <w:tab/>
        <w:t>House</w:t>
      </w:r>
      <w:r>
        <w:tab/>
      </w:r>
      <w:r w:rsidRPr="006F0DE5">
        <w:t>Referred</w:t>
      </w:r>
      <w:r>
        <w:t xml:space="preserve"> to Committee on </w:t>
      </w:r>
      <w:r w:rsidRPr="006F0DE5">
        <w:rPr>
          <w:b/>
        </w:rPr>
        <w:t>Ways and Means</w:t>
      </w:r>
      <w:r>
        <w:t xml:space="preserve"> </w:t>
      </w:r>
      <w:r w:rsidRPr="006F0DE5">
        <w:t>(</w:t>
      </w:r>
      <w:hyperlink r:id="rId8" w:history="1">
        <w:r w:rsidRPr="006F0DE5">
          <w:rPr>
            <w:rStyle w:val="Hyperlink"/>
          </w:rPr>
          <w:t>House Journal</w:t>
        </w:r>
        <w:r w:rsidRPr="006F0DE5">
          <w:rPr>
            <w:rStyle w:val="Hyperlink"/>
          </w:rPr>
          <w:noBreakHyphen/>
          <w:t>page 24</w:t>
        </w:r>
      </w:hyperlink>
      <w:r w:rsidRPr="006F0DE5">
        <w:t>)</w:t>
      </w:r>
    </w:p>
    <w:p w:rsidR="00AF58D3" w:rsidRDefault="00AF58D3" w:rsidP="00AF58D3">
      <w:pPr>
        <w:widowControl w:val="0"/>
        <w:tabs>
          <w:tab w:val="right" w:pos="1008"/>
          <w:tab w:val="left" w:pos="1152"/>
          <w:tab w:val="left" w:pos="1872"/>
          <w:tab w:val="left" w:pos="9187"/>
        </w:tabs>
        <w:ind w:left="2088" w:hanging="2088"/>
        <w:jc w:val="left"/>
      </w:pPr>
    </w:p>
    <w:p w:rsidR="000C0097" w:rsidRPr="000C0097" w:rsidRDefault="000C0097" w:rsidP="000C0097">
      <w:pPr>
        <w:widowControl w:val="0"/>
        <w:tabs>
          <w:tab w:val="right" w:pos="1008"/>
          <w:tab w:val="left" w:pos="1152"/>
          <w:tab w:val="left" w:pos="1872"/>
          <w:tab w:val="left" w:pos="9187"/>
        </w:tabs>
        <w:ind w:left="2088" w:hanging="2088"/>
        <w:jc w:val="left"/>
      </w:pPr>
    </w:p>
    <w:p w:rsidR="000C0097" w:rsidRDefault="000C0097" w:rsidP="000C0097">
      <w:pPr>
        <w:widowControl w:val="0"/>
        <w:jc w:val="left"/>
      </w:pPr>
      <w:r w:rsidRPr="000C0097">
        <w:rPr>
          <w:b/>
        </w:rPr>
        <w:t>VERSIONS OF THIS BILL</w:t>
      </w:r>
    </w:p>
    <w:p w:rsidR="000C0097" w:rsidRDefault="000C0097" w:rsidP="000C0097">
      <w:pPr>
        <w:widowControl w:val="0"/>
        <w:jc w:val="left"/>
      </w:pPr>
    </w:p>
    <w:p w:rsidR="000C0097" w:rsidRDefault="007835B1" w:rsidP="000C0097">
      <w:pPr>
        <w:widowControl w:val="0"/>
        <w:jc w:val="left"/>
      </w:pPr>
      <w:hyperlink r:id="rId9" w:history="1">
        <w:r w:rsidR="000C0097">
          <w:rPr>
            <w:rStyle w:val="Hyperlink"/>
          </w:rPr>
          <w:t>1/15/2014</w:t>
        </w:r>
      </w:hyperlink>
    </w:p>
    <w:p w:rsidR="000C0097" w:rsidRDefault="000C0097" w:rsidP="000C0097"/>
    <w:p w:rsidR="000C0097" w:rsidRDefault="000C0097" w:rsidP="000C0097">
      <w:pPr>
        <w:sectPr w:rsidR="000C0097" w:rsidSect="000C00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7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CLASSIFICATION OF PROPERTY AND ASSESSMENT RATIOS FOR PURPOSES OF AD VALOREM TAXATION, SO AS TO LIMIT ROLLBACK TAXES TO ONE YEAR WHEN LAND CLASSIFIED AS AGRICULTURAL REAL PROPERTY IS APPLIED TO ANOTHER USE.</w:t>
      </w:r>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D66" w:rsidRPr="00D60520" w:rsidRDefault="009E674D"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0D66" w:rsidRPr="00D60520">
        <w:rPr>
          <w:color w:val="000000" w:themeColor="text1"/>
          <w:u w:color="000000" w:themeColor="text1"/>
        </w:rPr>
        <w:t>Section 12</w:t>
      </w:r>
      <w:r w:rsidR="00D60D66">
        <w:rPr>
          <w:color w:val="000000" w:themeColor="text1"/>
          <w:u w:color="000000" w:themeColor="text1"/>
        </w:rPr>
        <w:noBreakHyphen/>
      </w:r>
      <w:r w:rsidR="00D60D66" w:rsidRPr="00D60520">
        <w:rPr>
          <w:color w:val="000000" w:themeColor="text1"/>
          <w:u w:color="000000" w:themeColor="text1"/>
        </w:rPr>
        <w:t>43</w:t>
      </w:r>
      <w:r w:rsidR="00D60D66">
        <w:rPr>
          <w:color w:val="000000" w:themeColor="text1"/>
          <w:u w:color="000000" w:themeColor="text1"/>
        </w:rPr>
        <w:noBreakHyphen/>
      </w:r>
      <w:r w:rsidR="00273624">
        <w:rPr>
          <w:color w:val="000000" w:themeColor="text1"/>
          <w:u w:color="000000" w:themeColor="text1"/>
        </w:rPr>
        <w:t>220(d)(4) of the 1976 Code</w:t>
      </w:r>
      <w:r w:rsidR="00D60D66" w:rsidRPr="00D60520">
        <w:rPr>
          <w:color w:val="000000" w:themeColor="text1"/>
          <w:u w:color="000000" w:themeColor="text1"/>
        </w:rPr>
        <w:t xml:space="preserve"> </w:t>
      </w:r>
      <w:r w:rsidR="00D60D66">
        <w:rPr>
          <w:color w:val="000000" w:themeColor="text1"/>
          <w:u w:color="000000" w:themeColor="text1"/>
        </w:rPr>
        <w:t xml:space="preserve">is </w:t>
      </w:r>
      <w:r w:rsidR="00D60D66" w:rsidRPr="00D60520">
        <w:rPr>
          <w:color w:val="000000" w:themeColor="text1"/>
          <w:u w:color="000000" w:themeColor="text1"/>
        </w:rPr>
        <w:t>amended to read:</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0520">
        <w:rPr>
          <w:color w:val="000000" w:themeColor="text1"/>
          <w:u w:color="000000" w:themeColor="text1"/>
        </w:rPr>
        <w:t>“</w:t>
      </w:r>
      <w:r>
        <w:rPr>
          <w:color w:val="000000" w:themeColor="text1"/>
          <w:u w:color="000000" w:themeColor="text1"/>
        </w:rPr>
        <w:t>(4)</w:t>
      </w:r>
      <w:r>
        <w:rPr>
          <w:color w:val="000000" w:themeColor="text1"/>
          <w:u w:color="000000" w:themeColor="text1"/>
        </w:rPr>
        <w:tab/>
      </w:r>
      <w:r w:rsidRPr="00D60520">
        <w:rPr>
          <w:color w:val="000000" w:themeColor="text1"/>
          <w:u w:color="000000" w:themeColor="text1"/>
        </w:rPr>
        <w:t xml:space="preserve">When real property which is in agricultural use and is being valued, assessed, and taxed under the provisions of this article, is applied to a use other than agricultural, it is subject to additional taxes, </w:t>
      </w:r>
      <w:r w:rsidRPr="006C4675">
        <w:rPr>
          <w:strike/>
          <w:color w:val="000000" w:themeColor="text1"/>
          <w:u w:color="000000" w:themeColor="text1"/>
        </w:rPr>
        <w:t>hereinafter</w:t>
      </w:r>
      <w:r w:rsidRPr="00D60520">
        <w:rPr>
          <w:color w:val="000000" w:themeColor="text1"/>
          <w:u w:color="000000" w:themeColor="text1"/>
        </w:rPr>
        <w:t xml:space="preserve"> referred to as </w:t>
      </w:r>
      <w:r w:rsidRPr="006C4675">
        <w:rPr>
          <w:strike/>
          <w:color w:val="000000" w:themeColor="text1"/>
          <w:u w:color="000000" w:themeColor="text1"/>
        </w:rPr>
        <w:t>roll</w:t>
      </w:r>
      <w:r>
        <w:rPr>
          <w:strike/>
          <w:color w:val="000000" w:themeColor="text1"/>
          <w:u w:color="000000" w:themeColor="text1"/>
        </w:rPr>
        <w:noBreakHyphen/>
      </w:r>
      <w:r w:rsidRPr="006C4675">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taxes, in an amount equal to the difference, if any, between the taxes paid or payable on the basis of the valuation and the assessment authorized </w:t>
      </w:r>
      <w:r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D60520">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D60520">
        <w:rPr>
          <w:strike/>
          <w:color w:val="000000" w:themeColor="text1"/>
          <w:u w:color="000000" w:themeColor="text1"/>
        </w:rPr>
        <w:t>each of the five tax years</w:t>
      </w:r>
      <w:r w:rsidRPr="00D60520">
        <w:rPr>
          <w:color w:val="000000" w:themeColor="text1"/>
          <w:u w:color="000000" w:themeColor="text1"/>
        </w:rPr>
        <w:t xml:space="preserve"> </w:t>
      </w:r>
      <w:r w:rsidRPr="00D60520">
        <w:rPr>
          <w:color w:val="000000" w:themeColor="text1"/>
          <w:u w:val="single" w:color="000000" w:themeColor="text1"/>
        </w:rPr>
        <w:t>the last tax year</w:t>
      </w:r>
      <w:r w:rsidRPr="00D60520">
        <w:rPr>
          <w:color w:val="000000" w:themeColor="text1"/>
          <w:u w:color="000000" w:themeColor="text1"/>
        </w:rPr>
        <w:t xml:space="preserve"> immediately preceding in which the real property was valued, assessed, and taxed as </w:t>
      </w:r>
      <w:r w:rsidRPr="006C4675">
        <w:rPr>
          <w:strike/>
          <w:color w:val="000000" w:themeColor="text1"/>
          <w:u w:color="000000" w:themeColor="text1"/>
        </w:rPr>
        <w:t>herein</w:t>
      </w:r>
      <w:r w:rsidRPr="00D60520">
        <w:rPr>
          <w:color w:val="000000" w:themeColor="text1"/>
          <w:u w:color="000000" w:themeColor="text1"/>
        </w:rPr>
        <w:t xml:space="preserve"> provided</w:t>
      </w:r>
      <w:r>
        <w:rPr>
          <w:color w:val="000000" w:themeColor="text1"/>
          <w:u w:color="000000" w:themeColor="text1"/>
        </w:rPr>
        <w:t xml:space="preserve"> </w:t>
      </w:r>
      <w:r>
        <w:rPr>
          <w:color w:val="000000" w:themeColor="text1"/>
          <w:u w:val="single" w:color="000000" w:themeColor="text1"/>
        </w:rPr>
        <w:t>in this item</w:t>
      </w:r>
      <w:r w:rsidRPr="00D60520">
        <w:rPr>
          <w:color w:val="000000" w:themeColor="text1"/>
          <w:u w:color="000000" w:themeColor="text1"/>
        </w:rPr>
        <w:t xml:space="preserve">.  If in the tax year in which a change in use of the real property occurs the real property was not valued, assessed, and taxed under this article, then the real property is subject to </w:t>
      </w:r>
      <w:r w:rsidRPr="006C4675">
        <w:rPr>
          <w:strike/>
          <w:color w:val="000000" w:themeColor="text1"/>
          <w:u w:color="000000" w:themeColor="text1"/>
        </w:rPr>
        <w:t>roll</w:t>
      </w:r>
      <w:r>
        <w:rPr>
          <w:strike/>
          <w:color w:val="000000" w:themeColor="text1"/>
          <w:u w:color="000000" w:themeColor="text1"/>
        </w:rPr>
        <w:noBreakHyphen/>
      </w:r>
      <w:r w:rsidRPr="006C4675">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taxes for </w:t>
      </w:r>
      <w:r w:rsidRPr="00D60520">
        <w:rPr>
          <w:strike/>
          <w:color w:val="000000" w:themeColor="text1"/>
          <w:u w:color="000000" w:themeColor="text1"/>
        </w:rPr>
        <w:t>each of the five</w:t>
      </w:r>
      <w:r w:rsidRPr="00D60520">
        <w:rPr>
          <w:color w:val="000000" w:themeColor="text1"/>
          <w:u w:color="000000" w:themeColor="text1"/>
        </w:rPr>
        <w:t xml:space="preserve"> </w:t>
      </w:r>
      <w:r w:rsidRPr="00D60520">
        <w:rPr>
          <w:color w:val="000000" w:themeColor="text1"/>
          <w:u w:val="single" w:color="000000" w:themeColor="text1"/>
        </w:rPr>
        <w:t>the</w:t>
      </w:r>
      <w:r w:rsidRPr="00D60520">
        <w:rPr>
          <w:color w:val="000000" w:themeColor="text1"/>
          <w:u w:color="000000" w:themeColor="text1"/>
        </w:rPr>
        <w:t xml:space="preserve"> tax </w:t>
      </w:r>
      <w:r w:rsidRPr="00D60520">
        <w:rPr>
          <w:strike/>
          <w:color w:val="000000" w:themeColor="text1"/>
          <w:u w:color="000000" w:themeColor="text1"/>
        </w:rPr>
        <w:t>years</w:t>
      </w:r>
      <w:r w:rsidRPr="00D60520">
        <w:rPr>
          <w:color w:val="000000" w:themeColor="text1"/>
          <w:u w:color="000000" w:themeColor="text1"/>
        </w:rPr>
        <w:t xml:space="preserve"> </w:t>
      </w:r>
      <w:r w:rsidRPr="00D60520">
        <w:rPr>
          <w:color w:val="000000" w:themeColor="text1"/>
          <w:u w:val="single" w:color="000000" w:themeColor="text1"/>
        </w:rPr>
        <w:t>year</w:t>
      </w:r>
      <w:r w:rsidRPr="00D60520">
        <w:rPr>
          <w:color w:val="000000" w:themeColor="text1"/>
          <w:u w:color="000000" w:themeColor="text1"/>
        </w:rPr>
        <w:t xml:space="preserve"> immediately preceding in which the real property was valued, assessed, and taxed </w:t>
      </w:r>
      <w:r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D60520">
        <w:rPr>
          <w:color w:val="000000" w:themeColor="text1"/>
          <w:u w:color="000000" w:themeColor="text1"/>
        </w:rPr>
        <w:t xml:space="preserve">.  In determining the amounts of the </w:t>
      </w:r>
      <w:r w:rsidRPr="00B40B1F">
        <w:rPr>
          <w:strike/>
          <w:color w:val="000000" w:themeColor="text1"/>
          <w:u w:color="000000" w:themeColor="text1"/>
        </w:rPr>
        <w:t>roll</w:t>
      </w:r>
      <w:r>
        <w:rPr>
          <w:strike/>
          <w:color w:val="000000" w:themeColor="text1"/>
          <w:u w:color="000000" w:themeColor="text1"/>
        </w:rPr>
        <w:noBreakHyphen/>
      </w:r>
      <w:r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lastRenderedPageBreak/>
        <w:t>rollback</w:t>
      </w:r>
      <w:r w:rsidRPr="00D60520">
        <w:rPr>
          <w:color w:val="000000" w:themeColor="text1"/>
          <w:u w:color="000000" w:themeColor="text1"/>
        </w:rPr>
        <w:t xml:space="preserve"> taxes chargeable on real property which has undergone a change in use, the assessor </w:t>
      </w:r>
      <w:r w:rsidRPr="00B40B1F">
        <w:rPr>
          <w:strike/>
          <w:color w:val="000000" w:themeColor="text1"/>
          <w:u w:color="000000" w:themeColor="text1"/>
        </w:rPr>
        <w:t>shall</w:t>
      </w:r>
      <w:r w:rsidRPr="00D60520">
        <w:rPr>
          <w:color w:val="000000" w:themeColor="text1"/>
          <w:u w:color="000000" w:themeColor="text1"/>
        </w:rPr>
        <w:t xml:space="preserve"> for </w:t>
      </w:r>
      <w:r w:rsidRPr="00D60520">
        <w:rPr>
          <w:strike/>
          <w:color w:val="000000" w:themeColor="text1"/>
          <w:u w:color="000000" w:themeColor="text1"/>
        </w:rPr>
        <w:t>each of</w:t>
      </w:r>
      <w:r w:rsidRPr="00D60520">
        <w:rPr>
          <w:color w:val="000000" w:themeColor="text1"/>
          <w:u w:color="000000" w:themeColor="text1"/>
        </w:rPr>
        <w:t xml:space="preserve"> the </w:t>
      </w:r>
      <w:r w:rsidRPr="00B40B1F">
        <w:rPr>
          <w:strike/>
          <w:color w:val="000000" w:themeColor="text1"/>
          <w:u w:color="000000" w:themeColor="text1"/>
        </w:rPr>
        <w:t>roll</w:t>
      </w:r>
      <w:r>
        <w:rPr>
          <w:strike/>
          <w:color w:val="000000" w:themeColor="text1"/>
          <w:u w:color="000000" w:themeColor="text1"/>
        </w:rPr>
        <w:noBreakHyphen/>
      </w:r>
      <w:r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 </w:t>
      </w:r>
      <w:r w:rsidRPr="00D60520">
        <w:rPr>
          <w:strike/>
          <w:color w:val="000000" w:themeColor="text1"/>
          <w:u w:color="000000" w:themeColor="text1"/>
        </w:rPr>
        <w:t>years</w:t>
      </w:r>
      <w:r w:rsidRPr="00D60520">
        <w:rPr>
          <w:color w:val="000000" w:themeColor="text1"/>
          <w:u w:color="000000" w:themeColor="text1"/>
        </w:rPr>
        <w:t xml:space="preserve"> </w:t>
      </w:r>
      <w:r w:rsidRPr="00D60520">
        <w:rPr>
          <w:color w:val="000000" w:themeColor="text1"/>
          <w:u w:val="single" w:color="000000" w:themeColor="text1"/>
        </w:rPr>
        <w:t>year</w:t>
      </w:r>
      <w:r w:rsidRPr="00D60520">
        <w:rPr>
          <w:color w:val="000000" w:themeColor="text1"/>
          <w:u w:color="000000" w:themeColor="text1"/>
        </w:rPr>
        <w:t xml:space="preserve"> involved </w:t>
      </w:r>
      <w:r>
        <w:rPr>
          <w:color w:val="000000" w:themeColor="text1"/>
          <w:u w:val="single" w:color="000000" w:themeColor="text1"/>
        </w:rPr>
        <w:t>shall</w:t>
      </w:r>
      <w:r w:rsidRPr="007558E8">
        <w:rPr>
          <w:color w:val="000000" w:themeColor="text1"/>
          <w:u w:color="000000" w:themeColor="text1"/>
        </w:rPr>
        <w:t xml:space="preserve"> </w:t>
      </w:r>
      <w:r w:rsidRPr="00D60520">
        <w:rPr>
          <w:color w:val="000000" w:themeColor="text1"/>
          <w:u w:color="000000" w:themeColor="text1"/>
        </w:rPr>
        <w:t>ascertain: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(A)</w:t>
      </w:r>
      <w:r w:rsidRPr="00D60520">
        <w:rPr>
          <w:color w:val="000000" w:themeColor="text1"/>
          <w:u w:color="000000" w:themeColor="text1"/>
        </w:rPr>
        <w:tab/>
        <w:t>the fair market value of such real property under the valuation standard applicable to other real property in the same classification;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(B)</w:t>
      </w:r>
      <w:r w:rsidRPr="00D60520">
        <w:rPr>
          <w:color w:val="000000" w:themeColor="text1"/>
          <w:u w:color="000000" w:themeColor="text1"/>
        </w:rPr>
        <w:tab/>
        <w:t>the amount of the real property assessment for the particular tax year by multiplying such fair market value by the appropriate assessment ratio provided in this article;</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(C)</w:t>
      </w:r>
      <w:r w:rsidRPr="00D60520">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(D)</w:t>
      </w:r>
      <w:r w:rsidRPr="00D60520">
        <w:rPr>
          <w:color w:val="000000" w:themeColor="text1"/>
          <w:u w:color="000000" w:themeColor="text1"/>
        </w:rPr>
        <w:tab/>
        <w:t>the amount of the rollback for that tax year by multiplying the amount of the additional assessment determined under (C) of this section by the property tax rate of the taxing district applicable for that tax year.”</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60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520">
        <w:rPr>
          <w:color w:val="000000" w:themeColor="text1"/>
          <w:u w:color="000000" w:themeColor="text1"/>
        </w:rPr>
        <w:t>SECTION</w:t>
      </w:r>
      <w:r w:rsidRPr="00D60520">
        <w:rPr>
          <w:color w:val="000000" w:themeColor="text1"/>
          <w:u w:color="000000" w:themeColor="text1"/>
        </w:rPr>
        <w:tab/>
        <w:t>2.</w:t>
      </w:r>
      <w:r w:rsidRPr="00D60520">
        <w:rPr>
          <w:color w:val="000000" w:themeColor="text1"/>
          <w:u w:color="000000" w:themeColor="text1"/>
        </w:rPr>
        <w:tab/>
      </w:r>
      <w:r>
        <w:rPr>
          <w:color w:val="000000" w:themeColor="text1"/>
          <w:u w:color="000000" w:themeColor="text1"/>
        </w:rPr>
        <w:t>This act takes effect upon approval by the Governor and applies for agricultural real property changed to another use after 2013.</w:t>
      </w:r>
    </w:p>
    <w:p w:rsidR="002F0264" w:rsidRDefault="00D60D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264" w:rsidRDefault="002F0264" w:rsidP="000C0097">
      <w:pPr>
        <w:suppressAutoHyphens/>
      </w:pPr>
    </w:p>
    <w:sectPr w:rsidR="002F0264" w:rsidSect="000C00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4D" w:rsidRDefault="009E674D" w:rsidP="009F0C77">
      <w:r>
        <w:separator/>
      </w:r>
    </w:p>
  </w:endnote>
  <w:endnote w:type="continuationSeparator" w:id="0">
    <w:p w:rsidR="009E674D" w:rsidRDefault="009E67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DA335D-96BC-4800-8412-81CB11673341}"/>
    <w:embedBold r:id="rId2" w:fontKey="{1DA409E3-F072-4BE0-B4A2-91C674A73A7B}"/>
  </w:font>
  <w:font w:name="Calibri">
    <w:panose1 w:val="020F0502020204030204"/>
    <w:charset w:val="00"/>
    <w:family w:val="swiss"/>
    <w:pitch w:val="variable"/>
    <w:sig w:usb0="E10002FF" w:usb1="4000ACFF" w:usb2="00000009" w:usb3="00000000" w:csb0="0000019F" w:csb1="00000000"/>
    <w:embedRegular r:id="rId3" w:fontKey="{C0732343-F674-4A53-91CA-698FE22DF542}"/>
  </w:font>
  <w:font w:name="Cambria">
    <w:panose1 w:val="02040503050406030204"/>
    <w:charset w:val="00"/>
    <w:family w:val="roman"/>
    <w:pitch w:val="variable"/>
    <w:sig w:usb0="E00002FF" w:usb1="400004FF" w:usb2="00000000" w:usb3="00000000" w:csb0="0000019F" w:csb1="00000000"/>
    <w:embedRegular r:id="rId4" w:fontKey="{823B2B00-1BB5-4C6E-A523-C94E727B9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97" w:rsidRPr="002F0264" w:rsidRDefault="000C0097" w:rsidP="002F0264">
    <w:pPr>
      <w:pStyle w:val="Footer"/>
      <w:tabs>
        <w:tab w:val="clear" w:pos="4680"/>
        <w:tab w:val="clear" w:pos="9360"/>
        <w:tab w:val="center" w:pos="2995"/>
      </w:tabs>
      <w:spacing w:before="120"/>
    </w:pPr>
    <w:r>
      <w:t>[4492]</w:t>
    </w:r>
    <w:r>
      <w:tab/>
    </w:r>
    <w:r w:rsidR="00C42928">
      <w:fldChar w:fldCharType="begin"/>
    </w:r>
    <w:r w:rsidR="00C42928">
      <w:instrText xml:space="preserve"> PAGE  \* MERGEFORMAT </w:instrText>
    </w:r>
    <w:r w:rsidR="00C42928">
      <w:fldChar w:fldCharType="separate"/>
    </w:r>
    <w:r w:rsidR="007835B1">
      <w:rPr>
        <w:noProof/>
      </w:rPr>
      <w:t>1</w:t>
    </w:r>
    <w:r w:rsidR="00C429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4D" w:rsidRDefault="009E674D" w:rsidP="009F0C77">
      <w:r>
        <w:separator/>
      </w:r>
    </w:p>
  </w:footnote>
  <w:footnote w:type="continuationSeparator" w:id="0">
    <w:p w:rsidR="009E674D" w:rsidRDefault="009E67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65HTC14"/>
    <w:docVar w:name="CoverBillType" w:val="b"/>
    <w:docVar w:name="docpath" w:val="L:\Council\bills\BBM\10965HTC14.DOCX"/>
    <w:docVar w:name="dvBillNumber" w:val="4492"/>
    <w:docVar w:name="dvBillNumberPrefix" w:val="H. "/>
    <w:docVar w:name="dvOriginalBody" w:val="House"/>
    <w:docVar w:name="dvSteno" w:val="BBM"/>
    <w:docVar w:name="NameofBody" w:val="h"/>
    <w:docVar w:name="vgroup2" w:val="Council"/>
  </w:docVars>
  <w:rsids>
    <w:rsidRoot w:val="00EE1606"/>
    <w:rsid w:val="00011869"/>
    <w:rsid w:val="000C0097"/>
    <w:rsid w:val="000E1785"/>
    <w:rsid w:val="000F40FA"/>
    <w:rsid w:val="0010776B"/>
    <w:rsid w:val="00133E66"/>
    <w:rsid w:val="001435A3"/>
    <w:rsid w:val="001D08F2"/>
    <w:rsid w:val="001D525B"/>
    <w:rsid w:val="001D7F4F"/>
    <w:rsid w:val="002321B6"/>
    <w:rsid w:val="00250967"/>
    <w:rsid w:val="002543C8"/>
    <w:rsid w:val="00273624"/>
    <w:rsid w:val="00284AAE"/>
    <w:rsid w:val="00292528"/>
    <w:rsid w:val="002E5912"/>
    <w:rsid w:val="002F0264"/>
    <w:rsid w:val="00301B21"/>
    <w:rsid w:val="00325348"/>
    <w:rsid w:val="0032732C"/>
    <w:rsid w:val="00336AD0"/>
    <w:rsid w:val="0037079A"/>
    <w:rsid w:val="003D01E8"/>
    <w:rsid w:val="003E5288"/>
    <w:rsid w:val="003F6D79"/>
    <w:rsid w:val="0041760A"/>
    <w:rsid w:val="00417C01"/>
    <w:rsid w:val="0045553A"/>
    <w:rsid w:val="004809EE"/>
    <w:rsid w:val="004E7D54"/>
    <w:rsid w:val="004F3A3E"/>
    <w:rsid w:val="005273C6"/>
    <w:rsid w:val="00530A69"/>
    <w:rsid w:val="00545593"/>
    <w:rsid w:val="00577C6C"/>
    <w:rsid w:val="005C2FE2"/>
    <w:rsid w:val="005E2BC9"/>
    <w:rsid w:val="00605102"/>
    <w:rsid w:val="006215AA"/>
    <w:rsid w:val="00634A4F"/>
    <w:rsid w:val="006643FE"/>
    <w:rsid w:val="00667FC4"/>
    <w:rsid w:val="006913C9"/>
    <w:rsid w:val="0069470D"/>
    <w:rsid w:val="006F094A"/>
    <w:rsid w:val="00734F00"/>
    <w:rsid w:val="007558E8"/>
    <w:rsid w:val="007835B1"/>
    <w:rsid w:val="007A70AE"/>
    <w:rsid w:val="00807E3D"/>
    <w:rsid w:val="008362E8"/>
    <w:rsid w:val="008A1768"/>
    <w:rsid w:val="008E4451"/>
    <w:rsid w:val="008F0F33"/>
    <w:rsid w:val="008F4429"/>
    <w:rsid w:val="0094021A"/>
    <w:rsid w:val="009B44AF"/>
    <w:rsid w:val="009C6A0B"/>
    <w:rsid w:val="009E674D"/>
    <w:rsid w:val="009F0C77"/>
    <w:rsid w:val="009F4DD1"/>
    <w:rsid w:val="00A31606"/>
    <w:rsid w:val="00A41684"/>
    <w:rsid w:val="00A64E80"/>
    <w:rsid w:val="00A72BCD"/>
    <w:rsid w:val="00A741D9"/>
    <w:rsid w:val="00A833AB"/>
    <w:rsid w:val="00A9741D"/>
    <w:rsid w:val="00AD4B17"/>
    <w:rsid w:val="00AF58D3"/>
    <w:rsid w:val="00B412D4"/>
    <w:rsid w:val="00BC7D90"/>
    <w:rsid w:val="00BE3C22"/>
    <w:rsid w:val="00C0345E"/>
    <w:rsid w:val="00C3483A"/>
    <w:rsid w:val="00C42928"/>
    <w:rsid w:val="00C74E9D"/>
    <w:rsid w:val="00C82FD3"/>
    <w:rsid w:val="00C92819"/>
    <w:rsid w:val="00CC6B7B"/>
    <w:rsid w:val="00CD2089"/>
    <w:rsid w:val="00D60D66"/>
    <w:rsid w:val="00D73A67"/>
    <w:rsid w:val="00D970A9"/>
    <w:rsid w:val="00DF3845"/>
    <w:rsid w:val="00E41911"/>
    <w:rsid w:val="00E565DE"/>
    <w:rsid w:val="00E92EEF"/>
    <w:rsid w:val="00EE1606"/>
    <w:rsid w:val="00F24442"/>
    <w:rsid w:val="00F50AE3"/>
    <w:rsid w:val="00F67CF1"/>
    <w:rsid w:val="00F840F0"/>
    <w:rsid w:val="00FA76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E71648-8BC2-48C3-A23A-68032CF5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00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2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B4245-1FED-4D7B-B6AD-020CE8EA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534</Words>
  <Characters>3049</Characters>
  <Application>Microsoft Office Word</Application>
  <DocSecurity>0</DocSecurity>
  <Lines>25</Lines>
  <Paragraphs>7</Paragraphs>
  <ScaleCrop>false</ScaleCrop>
  <Company>LPITS</Company>
  <LinksUpToDate>false</LinksUpToDate>
  <CharactersWithSpaces>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4492: Ad Valorem Tax - South Carolina Legislature Online</dc:title>
  <dc:creator>BRENDA MELTON</dc:creator>
  <cp:lastModifiedBy>N Cumfer</cp:lastModifiedBy>
  <cp:revision>7</cp:revision>
  <cp:lastPrinted>2013-11-19T17:25:00Z</cp:lastPrinted>
  <dcterms:created xsi:type="dcterms:W3CDTF">2014-01-15T19:14:00Z</dcterms:created>
  <dcterms:modified xsi:type="dcterms:W3CDTF">2014-12-05T16:57:00Z</dcterms:modified>
</cp:coreProperties>
</file>