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B98" w:rsidRDefault="00B17B98" w:rsidP="00B17B98">
      <w:pPr>
        <w:widowControl w:val="0"/>
        <w:jc w:val="center"/>
      </w:pPr>
      <w:r w:rsidRPr="00B17B98">
        <w:rPr>
          <w:b/>
        </w:rPr>
        <w:t>South Carolina General Assembly</w:t>
      </w:r>
    </w:p>
    <w:p w:rsidR="00B17B98" w:rsidRDefault="00B17B98" w:rsidP="00B17B98">
      <w:pPr>
        <w:widowControl w:val="0"/>
        <w:jc w:val="center"/>
      </w:pPr>
      <w:r>
        <w:t>120th Session, 2013-2014</w:t>
      </w:r>
    </w:p>
    <w:p w:rsidR="00B17B98" w:rsidRDefault="00B17B98" w:rsidP="00B17B98">
      <w:pPr>
        <w:widowControl w:val="0"/>
        <w:jc w:val="left"/>
      </w:pPr>
    </w:p>
    <w:p w:rsidR="00B17B98" w:rsidRDefault="00B17B98" w:rsidP="00B17B98">
      <w:pPr>
        <w:widowControl w:val="0"/>
        <w:jc w:val="left"/>
        <w:rPr>
          <w:b/>
        </w:rPr>
      </w:pPr>
      <w:r w:rsidRPr="00B17B98">
        <w:rPr>
          <w:b/>
        </w:rPr>
        <w:t>H. 5035</w:t>
      </w:r>
    </w:p>
    <w:p w:rsidR="00B17B98" w:rsidRDefault="00B17B98" w:rsidP="00B17B98">
      <w:pPr>
        <w:widowControl w:val="0"/>
        <w:jc w:val="left"/>
        <w:rPr>
          <w:b/>
        </w:rPr>
      </w:pPr>
    </w:p>
    <w:p w:rsidR="00B17B98" w:rsidRDefault="00B17B98" w:rsidP="00B17B98">
      <w:pPr>
        <w:widowControl w:val="0"/>
        <w:jc w:val="left"/>
      </w:pPr>
      <w:r w:rsidRPr="00B17B98">
        <w:rPr>
          <w:b/>
        </w:rPr>
        <w:t>STATUS INFORMATION</w:t>
      </w:r>
    </w:p>
    <w:p w:rsidR="00B17B98" w:rsidRDefault="00B17B98" w:rsidP="00B17B98">
      <w:pPr>
        <w:widowControl w:val="0"/>
        <w:jc w:val="left"/>
      </w:pPr>
    </w:p>
    <w:p w:rsidR="00B17B98" w:rsidRDefault="00B17B98" w:rsidP="00B17B98">
      <w:pPr>
        <w:widowControl w:val="0"/>
        <w:jc w:val="left"/>
      </w:pPr>
      <w:r>
        <w:t>General Bill</w:t>
      </w:r>
    </w:p>
    <w:p w:rsidR="00B17B98" w:rsidRDefault="00D36911" w:rsidP="00B17B98">
      <w:pPr>
        <w:widowControl w:val="0"/>
        <w:jc w:val="left"/>
      </w:pPr>
      <w:r>
        <w:t>Sponsors: Reps. Newton, Hiott, Southard, Bowers, McCoy, Clemmons, Loftis, Crosby, Allison, J.E. Smith, Horne, Cobb</w:t>
      </w:r>
      <w:r>
        <w:noBreakHyphen/>
        <w:t>Hunter, Patrick, Tallon, Merrill, Hamilton, Erickson, Govan, Quinn, Bedingfield, Bernstein, Kennedy, Bowen, Brannon, Anthony, Sabb, Murphy, Long, Atwater, Stavrinakis, Whipper, Bannister, Bingham, Cole, Daning, Delleney, Forrester, Funderburk, Goldfinch, Harrell, Henderson, Herbkersman, Lucas, W.J. McLeod, Norrell, Pitts, Pope, Riley, Rutherford, Ryhal, Sandifer, Simrill, G.M. Smith, G.R. Smith, J.R. Smith, Taylor, Thayer, Weeks and White</w:t>
      </w:r>
    </w:p>
    <w:p w:rsidR="00B17B98" w:rsidRDefault="00B17B98" w:rsidP="00B17B98">
      <w:pPr>
        <w:widowControl w:val="0"/>
        <w:jc w:val="left"/>
      </w:pPr>
      <w:r>
        <w:t>Document Path: l:\council\bills\bbm\9044htc14.docx</w:t>
      </w:r>
    </w:p>
    <w:p w:rsidR="00B17B98" w:rsidRDefault="00B17B98" w:rsidP="00B17B98">
      <w:pPr>
        <w:widowControl w:val="0"/>
        <w:jc w:val="left"/>
      </w:pPr>
    </w:p>
    <w:p w:rsidR="00B17B98" w:rsidRDefault="00B17B98" w:rsidP="00B17B98">
      <w:pPr>
        <w:widowControl w:val="0"/>
        <w:jc w:val="left"/>
      </w:pPr>
      <w:r>
        <w:t>Introduced in the House on April 2, 2014</w:t>
      </w:r>
    </w:p>
    <w:p w:rsidR="00B17B98" w:rsidRDefault="00B17B98" w:rsidP="00B17B98">
      <w:pPr>
        <w:widowControl w:val="0"/>
        <w:jc w:val="left"/>
      </w:pPr>
      <w:r>
        <w:t xml:space="preserve">Currently residing in the House Committee on </w:t>
      </w:r>
      <w:r w:rsidRPr="00B17B98">
        <w:rPr>
          <w:b/>
        </w:rPr>
        <w:t>Ways and Means</w:t>
      </w:r>
    </w:p>
    <w:p w:rsidR="00B17B98" w:rsidRDefault="00B17B98" w:rsidP="00B17B98">
      <w:pPr>
        <w:widowControl w:val="0"/>
        <w:jc w:val="left"/>
      </w:pPr>
    </w:p>
    <w:p w:rsidR="00B17B98" w:rsidRDefault="00B17B98" w:rsidP="00B17B98">
      <w:pPr>
        <w:widowControl w:val="0"/>
        <w:jc w:val="left"/>
      </w:pPr>
      <w:r>
        <w:t xml:space="preserve">Summary: </w:t>
      </w:r>
      <w:r w:rsidR="00AB4560">
        <w:t>Property tax</w:t>
      </w:r>
    </w:p>
    <w:p w:rsidR="00B17B98" w:rsidRDefault="00B17B98" w:rsidP="00B17B98">
      <w:pPr>
        <w:widowControl w:val="0"/>
        <w:jc w:val="left"/>
      </w:pPr>
    </w:p>
    <w:p w:rsidR="00B17B98" w:rsidRDefault="00B17B98" w:rsidP="00B17B98">
      <w:pPr>
        <w:widowControl w:val="0"/>
        <w:jc w:val="left"/>
      </w:pPr>
    </w:p>
    <w:p w:rsidR="00B17B98" w:rsidRDefault="00B17B98" w:rsidP="00B17B98">
      <w:pPr>
        <w:widowControl w:val="0"/>
        <w:tabs>
          <w:tab w:val="center" w:pos="590"/>
          <w:tab w:val="center" w:pos="1440"/>
          <w:tab w:val="left" w:pos="1872"/>
          <w:tab w:val="left" w:pos="9187"/>
        </w:tabs>
        <w:jc w:val="left"/>
      </w:pPr>
      <w:r w:rsidRPr="00B17B98">
        <w:rPr>
          <w:b/>
        </w:rPr>
        <w:t>HISTORY OF LEGISLATIVE ACTIONS</w:t>
      </w:r>
    </w:p>
    <w:p w:rsidR="00B17B98" w:rsidRDefault="00B17B98" w:rsidP="00B17B98">
      <w:pPr>
        <w:widowControl w:val="0"/>
        <w:tabs>
          <w:tab w:val="center" w:pos="590"/>
          <w:tab w:val="center" w:pos="1440"/>
          <w:tab w:val="left" w:pos="1872"/>
          <w:tab w:val="left" w:pos="9187"/>
        </w:tabs>
        <w:jc w:val="left"/>
      </w:pPr>
    </w:p>
    <w:p w:rsidR="00B17B98" w:rsidRPr="00B17B98" w:rsidRDefault="00B17B98" w:rsidP="00B17B98">
      <w:pPr>
        <w:widowControl w:val="0"/>
        <w:tabs>
          <w:tab w:val="center" w:pos="590"/>
          <w:tab w:val="center" w:pos="1440"/>
          <w:tab w:val="left" w:pos="1872"/>
          <w:tab w:val="left" w:pos="9187"/>
        </w:tabs>
        <w:jc w:val="left"/>
      </w:pPr>
      <w:r w:rsidRPr="00B17B98">
        <w:rPr>
          <w:u w:val="single"/>
        </w:rPr>
        <w:tab/>
        <w:t>Date</w:t>
      </w:r>
      <w:r w:rsidRPr="00B17B98">
        <w:rPr>
          <w:u w:val="single"/>
        </w:rPr>
        <w:tab/>
        <w:t>Body</w:t>
      </w:r>
      <w:r w:rsidRPr="00B17B98">
        <w:rPr>
          <w:u w:val="single"/>
        </w:rPr>
        <w:tab/>
        <w:t>Action Description with journal page number</w:t>
      </w:r>
      <w:r w:rsidRPr="00B17B98">
        <w:rPr>
          <w:u w:val="single"/>
        </w:rPr>
        <w:tab/>
      </w:r>
      <w:bookmarkStart w:id="0" w:name="_GoBack"/>
      <w:bookmarkEnd w:id="0"/>
    </w:p>
    <w:p w:rsidR="00497FA5" w:rsidRDefault="00497FA5" w:rsidP="00497FA5">
      <w:pPr>
        <w:widowControl w:val="0"/>
        <w:tabs>
          <w:tab w:val="right" w:pos="1008"/>
          <w:tab w:val="left" w:pos="1152"/>
          <w:tab w:val="left" w:pos="1872"/>
          <w:tab w:val="left" w:pos="9187"/>
        </w:tabs>
        <w:ind w:left="2088" w:hanging="2088"/>
        <w:jc w:val="left"/>
      </w:pPr>
      <w:r>
        <w:tab/>
        <w:t>4/2/2014</w:t>
      </w:r>
      <w:r>
        <w:tab/>
        <w:t>House</w:t>
      </w:r>
      <w:r>
        <w:tab/>
      </w:r>
      <w:r w:rsidRPr="00114854">
        <w:t>Introduced and read first time (</w:t>
      </w:r>
      <w:hyperlink r:id="rId7" w:history="1">
        <w:r w:rsidRPr="00114854">
          <w:rPr>
            <w:rStyle w:val="Hyperlink"/>
          </w:rPr>
          <w:t>House Journal</w:t>
        </w:r>
        <w:r w:rsidRPr="00114854">
          <w:rPr>
            <w:rStyle w:val="Hyperlink"/>
          </w:rPr>
          <w:noBreakHyphen/>
          <w:t>page 110</w:t>
        </w:r>
      </w:hyperlink>
      <w:r w:rsidRPr="00114854">
        <w:t>)</w:t>
      </w:r>
    </w:p>
    <w:p w:rsidR="00497FA5" w:rsidRDefault="00497FA5" w:rsidP="00497FA5">
      <w:pPr>
        <w:widowControl w:val="0"/>
        <w:tabs>
          <w:tab w:val="right" w:pos="1008"/>
          <w:tab w:val="left" w:pos="1152"/>
          <w:tab w:val="left" w:pos="1872"/>
          <w:tab w:val="left" w:pos="9187"/>
        </w:tabs>
        <w:ind w:left="2088" w:hanging="2088"/>
        <w:jc w:val="left"/>
      </w:pPr>
      <w:r>
        <w:tab/>
        <w:t>4/2/2014</w:t>
      </w:r>
      <w:r>
        <w:tab/>
        <w:t>House</w:t>
      </w:r>
      <w:r>
        <w:tab/>
      </w:r>
      <w:r w:rsidRPr="00114854">
        <w:t>Referred to Committ</w:t>
      </w:r>
      <w:r>
        <w:t xml:space="preserve">ee on </w:t>
      </w:r>
      <w:r w:rsidRPr="00114854">
        <w:rPr>
          <w:b/>
        </w:rPr>
        <w:t>Ways and Means</w:t>
      </w:r>
      <w:r>
        <w:t xml:space="preserve"> </w:t>
      </w:r>
      <w:r w:rsidRPr="00114854">
        <w:t>(</w:t>
      </w:r>
      <w:hyperlink r:id="rId8" w:history="1">
        <w:r w:rsidRPr="00114854">
          <w:rPr>
            <w:rStyle w:val="Hyperlink"/>
          </w:rPr>
          <w:t>House Journal</w:t>
        </w:r>
        <w:r w:rsidRPr="00114854">
          <w:rPr>
            <w:rStyle w:val="Hyperlink"/>
          </w:rPr>
          <w:noBreakHyphen/>
          <w:t>page 110</w:t>
        </w:r>
      </w:hyperlink>
      <w:r w:rsidRPr="00114854">
        <w:t>)</w:t>
      </w:r>
    </w:p>
    <w:p w:rsidR="00497FA5" w:rsidRDefault="00497FA5" w:rsidP="00497FA5">
      <w:pPr>
        <w:widowControl w:val="0"/>
        <w:tabs>
          <w:tab w:val="right" w:pos="1008"/>
          <w:tab w:val="left" w:pos="1152"/>
          <w:tab w:val="left" w:pos="1872"/>
          <w:tab w:val="left" w:pos="9187"/>
        </w:tabs>
        <w:ind w:left="2088" w:hanging="2088"/>
        <w:jc w:val="left"/>
      </w:pPr>
    </w:p>
    <w:p w:rsidR="00B17B98" w:rsidRPr="00B17B98" w:rsidRDefault="00B17B98" w:rsidP="00B17B98">
      <w:pPr>
        <w:widowControl w:val="0"/>
        <w:tabs>
          <w:tab w:val="right" w:pos="1008"/>
          <w:tab w:val="left" w:pos="1152"/>
          <w:tab w:val="left" w:pos="1872"/>
          <w:tab w:val="left" w:pos="9187"/>
        </w:tabs>
        <w:ind w:left="2088" w:hanging="2088"/>
        <w:jc w:val="left"/>
      </w:pPr>
    </w:p>
    <w:p w:rsidR="00B17B98" w:rsidRDefault="00B17B98" w:rsidP="00B17B98">
      <w:pPr>
        <w:widowControl w:val="0"/>
        <w:jc w:val="left"/>
      </w:pPr>
      <w:r w:rsidRPr="00B17B98">
        <w:rPr>
          <w:b/>
        </w:rPr>
        <w:t>VERSIONS OF THIS BILL</w:t>
      </w:r>
    </w:p>
    <w:p w:rsidR="00B17B98" w:rsidRDefault="00B17B98" w:rsidP="00B17B98">
      <w:pPr>
        <w:widowControl w:val="0"/>
        <w:jc w:val="left"/>
      </w:pPr>
    </w:p>
    <w:p w:rsidR="00B17B98" w:rsidRDefault="00EC05AB" w:rsidP="00B17B98">
      <w:pPr>
        <w:widowControl w:val="0"/>
        <w:jc w:val="left"/>
      </w:pPr>
      <w:hyperlink r:id="rId9" w:history="1">
        <w:r w:rsidR="00B17B98">
          <w:rPr>
            <w:rStyle w:val="Hyperlink"/>
          </w:rPr>
          <w:t>4/2/2014</w:t>
        </w:r>
      </w:hyperlink>
    </w:p>
    <w:p w:rsidR="00B17B98" w:rsidRDefault="00B17B98" w:rsidP="00B17B98"/>
    <w:p w:rsidR="00B17B98" w:rsidRDefault="00B17B98" w:rsidP="00B17B98">
      <w:pPr>
        <w:sectPr w:rsidR="00B17B98" w:rsidSect="00B17B98">
          <w:pgSz w:w="12240" w:h="15840" w:code="1"/>
          <w:pgMar w:top="1080" w:right="1440" w:bottom="1080" w:left="1440" w:header="720" w:footer="720" w:gutter="0"/>
          <w:cols w:space="720"/>
          <w:noEndnote/>
          <w:docGrid w:linePitch="360"/>
        </w:sectPr>
      </w:pPr>
    </w:p>
    <w:p w:rsidR="00B4705B" w:rsidRDefault="00B4705B" w:rsidP="00B4705B">
      <w:pPr>
        <w:pStyle w:val="BillDots"/>
      </w:pPr>
    </w:p>
    <w:p w:rsidR="00B4705B" w:rsidRDefault="00B4705B" w:rsidP="00B4705B">
      <w:pPr>
        <w:pStyle w:val="Numbersforbill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E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0F6954">
        <w:noBreakHyphen/>
      </w:r>
      <w:r>
        <w:t>43</w:t>
      </w:r>
      <w:r w:rsidR="000F6954">
        <w:noBreakHyphen/>
      </w:r>
      <w:r>
        <w:t>220, CODE OF LAWS OF SOUTH CAROLINA, 1976, RELATING TO THE CLASSES OF PROPERTY AND ASSESSMENT INTEREST APPLICABLE TO THESE CLASSES FOR PURPOSES OF THE IMPOSITION OF PROPERTY TAX, SO AS TO PROVIDE THAT AFTER A PARCEL OF REAL PROPERTY HAS UNDERGONE AN ASSESSABLE TRANSFER OF INTEREST DELINQUENT PROPERTY TAX AND PENALTIES ASSESSED BECAUSE THE PROPERTY WAS IMPROPERLY CLASSIFIED AS OWNER</w:t>
      </w:r>
      <w:r w:rsidR="000F6954">
        <w:noBreakHyphen/>
      </w:r>
      <w:r>
        <w:t xml:space="preserve">OCCUPIED RESIDENTIAL PROPERTY WHILE OWNED BY THE TRANSFEROR ARE </w:t>
      </w:r>
      <w:r w:rsidR="0095162F">
        <w:t>SOLELY</w:t>
      </w:r>
      <w:r>
        <w:t xml:space="preserve"> A PERSONAL LIABILITY OF THE TRANSFEROR AND DO NOT CONSTITUTE A LIEN ON THE PROPERTY ARE NOT ENFORCEABLE AGAINST THE PROPERTY AFTER THE ASSESSABLE TRANSFER OF INTEREST IF THE TRANSFER</w:t>
      </w:r>
      <w:r w:rsidR="00211624">
        <w:t>EE</w:t>
      </w:r>
      <w:r>
        <w:t xml:space="preserve"> IS A BONA FIDE PURCHASER FOR VALUE WITHOUT NOTICE</w:t>
      </w:r>
      <w:r w:rsidR="008D76D8">
        <w:t xml:space="preserve"> AND TO GIVE THIS PROVISION BOTH PROSPECTIVE AND RETROACTIVE EFFECT</w:t>
      </w:r>
      <w:r>
        <w:t>.</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A15">
        <w:t>Section 12</w:t>
      </w:r>
      <w:r w:rsidR="000F6954">
        <w:noBreakHyphen/>
      </w:r>
      <w:r w:rsidR="001F1A15">
        <w:t>43</w:t>
      </w:r>
      <w:r w:rsidR="000F6954">
        <w:noBreakHyphen/>
      </w:r>
      <w:r w:rsidR="001F1A15">
        <w:t>220(c)(2)(vii) of the 1976 Code is amended to read:</w:t>
      </w:r>
    </w:p>
    <w:p w:rsidR="001F1A15"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15" w:rsidRDefault="001F1A15" w:rsidP="001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“(vii)</w:t>
      </w:r>
      <w:r>
        <w:rPr>
          <w:u w:val="single"/>
        </w:rPr>
        <w:t>(A)</w:t>
      </w:r>
      <w:r>
        <w:rPr>
          <w:color w:val="000000"/>
        </w:rPr>
        <w:tab/>
      </w:r>
      <w:r w:rsidRPr="00131B6C">
        <w:rPr>
          <w:color w:val="000000"/>
        </w:rPr>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0F6954">
        <w:rPr>
          <w:color w:val="000000"/>
        </w:rPr>
        <w:noBreakHyphen/>
      </w:r>
      <w:r w:rsidRPr="00131B6C">
        <w:rPr>
          <w:color w:val="000000"/>
        </w:rPr>
        <w:t>half of one percent a month, but in no case less than thirty dollars nor more than the current year</w:t>
      </w:r>
      <w:r w:rsidR="000F6954" w:rsidRPr="000F6954">
        <w:rPr>
          <w:color w:val="000000"/>
        </w:rPr>
        <w:t>’</w:t>
      </w:r>
      <w:r w:rsidRPr="00131B6C">
        <w:rPr>
          <w:color w:val="000000"/>
        </w:rPr>
        <w:t xml:space="preserve">s taxes. This penalty and any interest are </w:t>
      </w:r>
      <w:r w:rsidRPr="00131B6C">
        <w:rPr>
          <w:color w:val="000000"/>
        </w:rPr>
        <w:lastRenderedPageBreak/>
        <w:t>considered ad valorem taxes due on the property for purposes of collection and enforcement.</w:t>
      </w:r>
    </w:p>
    <w:p w:rsidR="001F1A15" w:rsidRPr="0095162F"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11624">
        <w:rPr>
          <w:u w:val="single"/>
        </w:rPr>
        <w:t>(B)</w:t>
      </w:r>
      <w:r w:rsidR="0095162F" w:rsidRPr="0095162F">
        <w:tab/>
      </w:r>
      <w:r w:rsidR="00211624">
        <w:rPr>
          <w:u w:val="single"/>
        </w:rPr>
        <w:t>If property has undergone an assessable transfer of interest as provided pursuant to Section 12</w:t>
      </w:r>
      <w:r w:rsidR="000F6954">
        <w:rPr>
          <w:u w:val="single"/>
        </w:rPr>
        <w:noBreakHyphen/>
      </w:r>
      <w:r w:rsidR="00211624">
        <w:rPr>
          <w:u w:val="single"/>
        </w:rPr>
        <w:t>37</w:t>
      </w:r>
      <w:r w:rsidR="000F6954">
        <w:rPr>
          <w:u w:val="single"/>
        </w:rPr>
        <w:noBreakHyphen/>
      </w:r>
      <w:r w:rsidR="00211624">
        <w:rPr>
          <w:u w:val="single"/>
        </w:rPr>
        <w:t>3150 and the transferee is a bona fide purchaser for value without notice</w:t>
      </w:r>
      <w:r w:rsidR="00EB6FC3">
        <w:rPr>
          <w:u w:val="single"/>
        </w:rPr>
        <w:t>,</w:t>
      </w:r>
      <w:r w:rsidR="00211624">
        <w:rPr>
          <w:u w:val="single"/>
        </w:rPr>
        <w:t xml:space="preserve"> penalties</w:t>
      </w:r>
      <w:r w:rsidR="00EB6FC3">
        <w:rPr>
          <w:u w:val="single"/>
        </w:rPr>
        <w:t xml:space="preserve"> </w:t>
      </w:r>
      <w:r w:rsidR="00211624">
        <w:rPr>
          <w:u w:val="single"/>
        </w:rPr>
        <w:t>assess</w:t>
      </w:r>
      <w:r w:rsidR="00EB6FC3">
        <w:rPr>
          <w:u w:val="single"/>
        </w:rPr>
        <w:t>ed</w:t>
      </w:r>
      <w:r w:rsidR="00211624">
        <w:rPr>
          <w:u w:val="single"/>
        </w:rPr>
        <w:t xml:space="preserve"> pursuant to</w:t>
      </w:r>
      <w:r w:rsidR="004029C7">
        <w:rPr>
          <w:u w:val="single"/>
        </w:rPr>
        <w:t xml:space="preserve"> subsubitem</w:t>
      </w:r>
      <w:r w:rsidR="00211624">
        <w:rPr>
          <w:u w:val="single"/>
        </w:rPr>
        <w:t xml:space="preserve"> (A)</w:t>
      </w:r>
      <w:r w:rsidR="00EB6FC3">
        <w:rPr>
          <w:u w:val="single"/>
        </w:rPr>
        <w:t xml:space="preserve"> and the additional property taxes and late payment penalties</w:t>
      </w:r>
      <w:r w:rsidR="0095162F">
        <w:rPr>
          <w:u w:val="single"/>
        </w:rPr>
        <w:t xml:space="preserve"> are solely the personal liability of the transferor and do not constitute a lien on and are not enforceable against the property in the hands of the transferee.</w:t>
      </w:r>
      <w:r w:rsidR="0095162F">
        <w:t>”</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62F">
        <w:t>2</w:t>
      </w:r>
      <w:r>
        <w:t>.</w:t>
      </w:r>
      <w:r>
        <w:tab/>
      </w:r>
      <w:r w:rsidR="0095162F">
        <w:t>Section 12</w:t>
      </w:r>
      <w:r w:rsidR="000F6954">
        <w:noBreakHyphen/>
      </w:r>
      <w:r w:rsidR="0095162F">
        <w:t>43</w:t>
      </w:r>
      <w:r w:rsidR="000F6954">
        <w:noBreakHyphen/>
      </w:r>
      <w:r w:rsidR="0095162F">
        <w:t>220(c)</w:t>
      </w:r>
      <w:r w:rsidR="004029C7">
        <w:t>(2)</w:t>
      </w:r>
      <w:r w:rsidR="0095162F">
        <w:t>(vii) of the 1976 Code, as amended by this act, takes effect upo</w:t>
      </w:r>
      <w:r>
        <w:t>n approval by the Governor</w:t>
      </w:r>
      <w:r w:rsidR="0095162F">
        <w:t xml:space="preserve"> and applies prospectively and also retroactively to all property tax years open for the assessment of delinquent property taxes and penalties, including penalties assessed pursuant to Section 12</w:t>
      </w:r>
      <w:r w:rsidR="000F6954">
        <w:noBreakHyphen/>
      </w:r>
      <w:r w:rsidR="0095162F">
        <w:t>43</w:t>
      </w:r>
      <w:r w:rsidR="000F6954">
        <w:noBreakHyphen/>
      </w:r>
      <w:r w:rsidR="004029C7">
        <w:t>220</w:t>
      </w:r>
      <w:r w:rsidR="0095162F">
        <w:t>(c)</w:t>
      </w:r>
      <w:r w:rsidR="004029C7">
        <w:t>(2)</w:t>
      </w:r>
      <w:r w:rsidR="0095162F">
        <w:t>(vii) of the 1976 Code, as of that date.  No interest is due on any refunds issued pursuant to the retroactive provisions of this section</w:t>
      </w:r>
      <w:r>
        <w:t>.</w:t>
      </w:r>
    </w:p>
    <w:p w:rsidR="00840055" w:rsidRDefault="000F69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055" w:rsidRDefault="00840055" w:rsidP="00B17B98">
      <w:pPr>
        <w:suppressAutoHyphens/>
      </w:pPr>
    </w:p>
    <w:sectPr w:rsidR="00840055" w:rsidSect="00B17B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624" w:rsidRDefault="00211624" w:rsidP="009F0C77">
      <w:r>
        <w:separator/>
      </w:r>
    </w:p>
  </w:endnote>
  <w:endnote w:type="continuationSeparator" w:id="0">
    <w:p w:rsidR="00211624" w:rsidRDefault="002116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1E6EEE-B8F1-47CB-B7B4-CA93D17376CB}"/>
    <w:embedBold r:id="rId2" w:fontKey="{6933C867-D702-40C0-9C7D-E6ADF6C489CF}"/>
  </w:font>
  <w:font w:name="Calibri">
    <w:panose1 w:val="020F0502020204030204"/>
    <w:charset w:val="00"/>
    <w:family w:val="swiss"/>
    <w:pitch w:val="variable"/>
    <w:sig w:usb0="E10002FF" w:usb1="4000ACFF" w:usb2="00000009" w:usb3="00000000" w:csb0="0000019F" w:csb1="00000000"/>
    <w:embedRegular r:id="rId3" w:fontKey="{A36BAF4B-99A5-49D9-B8CA-0D020F21E423}"/>
  </w:font>
  <w:font w:name="Cambria">
    <w:panose1 w:val="02040503050406030204"/>
    <w:charset w:val="00"/>
    <w:family w:val="roman"/>
    <w:pitch w:val="variable"/>
    <w:sig w:usb0="E00002FF" w:usb1="400004FF" w:usb2="00000000" w:usb3="00000000" w:csb0="0000019F" w:csb1="00000000"/>
    <w:embedRegular r:id="rId4" w:fontKey="{AAF44AA2-CEE0-452A-AE56-B8BE2B7A0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B98" w:rsidRPr="00840055" w:rsidRDefault="00B17B98" w:rsidP="00840055">
    <w:pPr>
      <w:pStyle w:val="Footer"/>
      <w:tabs>
        <w:tab w:val="clear" w:pos="4680"/>
        <w:tab w:val="clear" w:pos="9360"/>
        <w:tab w:val="center" w:pos="2995"/>
      </w:tabs>
      <w:spacing w:before="120"/>
    </w:pPr>
    <w:r>
      <w:t>[5035]</w:t>
    </w:r>
    <w:r>
      <w:tab/>
    </w:r>
    <w:r w:rsidR="00192D15">
      <w:fldChar w:fldCharType="begin"/>
    </w:r>
    <w:r w:rsidR="00192D15">
      <w:instrText xml:space="preserve"> PAGE  \* MERGEFORMAT </w:instrText>
    </w:r>
    <w:r w:rsidR="00192D15">
      <w:fldChar w:fldCharType="separate"/>
    </w:r>
    <w:r w:rsidR="00EC05AB">
      <w:rPr>
        <w:noProof/>
      </w:rPr>
      <w:t>1</w:t>
    </w:r>
    <w:r w:rsidR="00192D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624" w:rsidRDefault="00211624" w:rsidP="009F0C77">
      <w:r>
        <w:separator/>
      </w:r>
    </w:p>
  </w:footnote>
  <w:footnote w:type="continuationSeparator" w:id="0">
    <w:p w:rsidR="00211624" w:rsidRDefault="002116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44HTC14"/>
    <w:docVar w:name="CoverBillType" w:val="b"/>
    <w:docVar w:name="docpath" w:val="L:\Council\bills\BBM\9044HTC14.DOCX"/>
    <w:docVar w:name="dvBillNumber" w:val="5035"/>
    <w:docVar w:name="dvBillNumberPrefix" w:val="H. "/>
    <w:docVar w:name="dvOriginalBody" w:val="House"/>
    <w:docVar w:name="dvSteno" w:val="BBM"/>
    <w:docVar w:name="NameofBody" w:val="h"/>
    <w:docVar w:name="vgroup2" w:val="Council"/>
  </w:docVars>
  <w:rsids>
    <w:rsidRoot w:val="00E32308"/>
    <w:rsid w:val="00011869"/>
    <w:rsid w:val="00016070"/>
    <w:rsid w:val="000D0FE8"/>
    <w:rsid w:val="000E1785"/>
    <w:rsid w:val="000F40FA"/>
    <w:rsid w:val="000F6954"/>
    <w:rsid w:val="0010776B"/>
    <w:rsid w:val="00133E66"/>
    <w:rsid w:val="001435A3"/>
    <w:rsid w:val="00184B56"/>
    <w:rsid w:val="00192D15"/>
    <w:rsid w:val="001D08F2"/>
    <w:rsid w:val="001D525B"/>
    <w:rsid w:val="001D7F4F"/>
    <w:rsid w:val="001F1A15"/>
    <w:rsid w:val="00211624"/>
    <w:rsid w:val="00217CDF"/>
    <w:rsid w:val="002321B6"/>
    <w:rsid w:val="00250967"/>
    <w:rsid w:val="002543C8"/>
    <w:rsid w:val="00284AAE"/>
    <w:rsid w:val="002E5912"/>
    <w:rsid w:val="00301B21"/>
    <w:rsid w:val="00325348"/>
    <w:rsid w:val="0032732C"/>
    <w:rsid w:val="00336AD0"/>
    <w:rsid w:val="0037079A"/>
    <w:rsid w:val="003D01E8"/>
    <w:rsid w:val="003E4CA4"/>
    <w:rsid w:val="003E5288"/>
    <w:rsid w:val="003F6D79"/>
    <w:rsid w:val="004029C7"/>
    <w:rsid w:val="0041760A"/>
    <w:rsid w:val="00417C01"/>
    <w:rsid w:val="004247A2"/>
    <w:rsid w:val="004809EE"/>
    <w:rsid w:val="00497FA5"/>
    <w:rsid w:val="004E7D54"/>
    <w:rsid w:val="00513F89"/>
    <w:rsid w:val="005273C6"/>
    <w:rsid w:val="00530A69"/>
    <w:rsid w:val="00545593"/>
    <w:rsid w:val="00550868"/>
    <w:rsid w:val="00577C6C"/>
    <w:rsid w:val="005C2FE2"/>
    <w:rsid w:val="005E2BC9"/>
    <w:rsid w:val="00605102"/>
    <w:rsid w:val="006215AA"/>
    <w:rsid w:val="006913C9"/>
    <w:rsid w:val="0069470D"/>
    <w:rsid w:val="006D0140"/>
    <w:rsid w:val="00734F00"/>
    <w:rsid w:val="007A70AE"/>
    <w:rsid w:val="00831FA4"/>
    <w:rsid w:val="008362E8"/>
    <w:rsid w:val="00840055"/>
    <w:rsid w:val="008859E2"/>
    <w:rsid w:val="008A1768"/>
    <w:rsid w:val="008D76D8"/>
    <w:rsid w:val="008F0F33"/>
    <w:rsid w:val="008F4429"/>
    <w:rsid w:val="0094021A"/>
    <w:rsid w:val="0095162F"/>
    <w:rsid w:val="00997E10"/>
    <w:rsid w:val="009B44AF"/>
    <w:rsid w:val="009C6A0B"/>
    <w:rsid w:val="009F0C77"/>
    <w:rsid w:val="009F4DD1"/>
    <w:rsid w:val="00A41684"/>
    <w:rsid w:val="00A64E80"/>
    <w:rsid w:val="00A72BCD"/>
    <w:rsid w:val="00A741D9"/>
    <w:rsid w:val="00A833AB"/>
    <w:rsid w:val="00A83CE9"/>
    <w:rsid w:val="00A9741D"/>
    <w:rsid w:val="00AB4560"/>
    <w:rsid w:val="00AD4B17"/>
    <w:rsid w:val="00B17B98"/>
    <w:rsid w:val="00B412D4"/>
    <w:rsid w:val="00B4705B"/>
    <w:rsid w:val="00BE3C22"/>
    <w:rsid w:val="00C0345E"/>
    <w:rsid w:val="00C3483A"/>
    <w:rsid w:val="00C74E9D"/>
    <w:rsid w:val="00C82FD3"/>
    <w:rsid w:val="00C92819"/>
    <w:rsid w:val="00CC6B7B"/>
    <w:rsid w:val="00CD2089"/>
    <w:rsid w:val="00D30EE5"/>
    <w:rsid w:val="00D36911"/>
    <w:rsid w:val="00D73A67"/>
    <w:rsid w:val="00D970A9"/>
    <w:rsid w:val="00DF3845"/>
    <w:rsid w:val="00E32308"/>
    <w:rsid w:val="00E41911"/>
    <w:rsid w:val="00E92EEF"/>
    <w:rsid w:val="00EB6FC3"/>
    <w:rsid w:val="00EC05AB"/>
    <w:rsid w:val="00F0197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CEA1C9-91C3-4A03-97C7-012158D1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7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35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FC86-D035-4467-9299-5E7F1870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555</Words>
  <Characters>3169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5035: Property tax - South Carolina Legislature Online</dc:title>
  <dc:creator>BRENDA MELTON</dc:creator>
  <cp:lastModifiedBy>N Cumfer</cp:lastModifiedBy>
  <cp:revision>7</cp:revision>
  <cp:lastPrinted>2014-03-03T21:22:00Z</cp:lastPrinted>
  <dcterms:created xsi:type="dcterms:W3CDTF">2014-04-02T19:54:00Z</dcterms:created>
  <dcterms:modified xsi:type="dcterms:W3CDTF">2014-12-05T17:07:00Z</dcterms:modified>
</cp:coreProperties>
</file>