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5C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SECTION 63</w:t>
      </w:r>
      <w:r w:rsidR="008725FA">
        <w:rPr>
          <w:color w:val="000000" w:themeColor="text1"/>
          <w:u w:color="000000" w:themeColor="text1"/>
        </w:rPr>
        <w:noBreakHyphen/>
      </w:r>
      <w:r>
        <w:rPr>
          <w:color w:val="000000" w:themeColor="text1"/>
          <w:u w:color="000000" w:themeColor="text1"/>
        </w:rPr>
        <w:t>19</w:t>
      </w:r>
      <w:r w:rsidR="008725FA">
        <w:rPr>
          <w:color w:val="000000" w:themeColor="text1"/>
          <w:u w:color="000000" w:themeColor="text1"/>
        </w:rPr>
        <w:noBreakHyphen/>
      </w:r>
      <w:r>
        <w:rPr>
          <w:color w:val="000000" w:themeColor="text1"/>
          <w:u w:color="000000" w:themeColor="text1"/>
        </w:rPr>
        <w:t>20, CODE OF LAWS OF SOUTH CAROLINA, 1976, RELATING TO DEFINITIONS PERTAINING TO THE JUVENILE JUSTICE CODE, SO AS TO INCLUDE PRETRIAL DETAINEES WHO HAVE NOT ATTAINED THEIR EIGHTEENTH BIRTHDAY WITHIN THE DEFINITION OF “CHILD” OR “JUVENILE”; AND TO AMEND SECTION 63</w:t>
      </w:r>
      <w:r w:rsidR="008725FA">
        <w:rPr>
          <w:color w:val="000000" w:themeColor="text1"/>
          <w:u w:color="000000" w:themeColor="text1"/>
        </w:rPr>
        <w:noBreakHyphen/>
      </w:r>
      <w:r>
        <w:rPr>
          <w:color w:val="000000" w:themeColor="text1"/>
          <w:u w:color="000000" w:themeColor="text1"/>
        </w:rPr>
        <w:t>19</w:t>
      </w:r>
      <w:r w:rsidR="008725FA">
        <w:rPr>
          <w:color w:val="000000" w:themeColor="text1"/>
          <w:u w:color="000000" w:themeColor="text1"/>
        </w:rPr>
        <w:noBreakHyphen/>
      </w:r>
      <w:r>
        <w:rPr>
          <w:color w:val="000000" w:themeColor="text1"/>
          <w:u w:color="000000" w:themeColor="text1"/>
        </w:rPr>
        <w:t>820, RELATING TO DETENTION OF A CHILD, SO AS TO DELETE AN EXCEPTION THAT ALLOWS CERTAIN JUVENILES TO BE CONFINED IN AN ADULT JAIL.</w:t>
      </w: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 xml:space="preserve">Whereas, </w:t>
      </w:r>
      <w:r>
        <w:rPr>
          <w:color w:val="000000" w:themeColor="text1"/>
          <w:u w:color="000000" w:themeColor="text1"/>
        </w:rPr>
        <w:t xml:space="preserve">Section </w:t>
      </w:r>
      <w:r w:rsidRPr="00B35065">
        <w:rPr>
          <w:color w:val="000000" w:themeColor="text1"/>
          <w:u w:color="000000" w:themeColor="text1"/>
        </w:rPr>
        <w:t>63</w:t>
      </w:r>
      <w:r w:rsidR="008725FA">
        <w:rPr>
          <w:color w:val="000000" w:themeColor="text1"/>
          <w:u w:color="000000" w:themeColor="text1"/>
        </w:rPr>
        <w:noBreakHyphen/>
      </w:r>
      <w:r w:rsidRPr="00B35065">
        <w:rPr>
          <w:color w:val="000000" w:themeColor="text1"/>
          <w:u w:color="000000" w:themeColor="text1"/>
        </w:rPr>
        <w:t>19</w:t>
      </w:r>
      <w:r w:rsidR="008725FA">
        <w:rPr>
          <w:color w:val="000000" w:themeColor="text1"/>
          <w:u w:color="000000" w:themeColor="text1"/>
        </w:rPr>
        <w:noBreakHyphen/>
      </w:r>
      <w:r w:rsidRPr="00B35065">
        <w:rPr>
          <w:color w:val="000000" w:themeColor="text1"/>
          <w:u w:color="000000" w:themeColor="text1"/>
        </w:rPr>
        <w:t>20 defines a “child” or “juvenile,” in general, as a person less than seventeen years of age;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5065">
        <w:rPr>
          <w:color w:val="000000" w:themeColor="text1"/>
          <w:u w:color="000000" w:themeColor="text1"/>
        </w:rPr>
        <w:t>18</w:t>
      </w:r>
      <w:r>
        <w:rPr>
          <w:color w:val="000000" w:themeColor="text1"/>
          <w:u w:color="000000" w:themeColor="text1"/>
        </w:rPr>
        <w:t xml:space="preserve"> U.S.C. Section </w:t>
      </w:r>
      <w:r w:rsidRPr="00B35065">
        <w:rPr>
          <w:color w:val="000000" w:themeColor="text1"/>
          <w:u w:color="000000" w:themeColor="text1"/>
        </w:rPr>
        <w:t xml:space="preserve">5031 defines a “juvenile,” in general, as a person who has not attained his eighteenth birthday; and </w:t>
      </w: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federal law requires that juvenile inmates be housed in a facility separated by sight and sound from adult inmates;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state law requires that juvenile inmates be housed for not longer than six hours in a facility separated by sight and sound from adult inmates and, thereafter, may not be housed in an adult jail or other place of detention for adults;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incarcerated juvenile inmates and pretrial juvenile detainees that cannot be adequately housed in county detention centers in compliance with state law are committed to the South Carolina Department of Juvenile Justice;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 xml:space="preserve">Whereas, in order to comply with the requirements of state law, juveniles detained by the South Carolina Department of Juvenile </w:t>
      </w:r>
      <w:r w:rsidRPr="00B35065">
        <w:rPr>
          <w:color w:val="000000" w:themeColor="text1"/>
          <w:u w:color="000000" w:themeColor="text1"/>
        </w:rPr>
        <w:lastRenderedPageBreak/>
        <w:t xml:space="preserve">Justice that turn seventeen years of age </w:t>
      </w:r>
      <w:r>
        <w:rPr>
          <w:color w:val="000000" w:themeColor="text1"/>
          <w:u w:color="000000" w:themeColor="text1"/>
        </w:rPr>
        <w:t>before</w:t>
      </w:r>
      <w:r w:rsidRPr="00B35065">
        <w:rPr>
          <w:color w:val="000000" w:themeColor="text1"/>
          <w:u w:color="000000" w:themeColor="text1"/>
        </w:rPr>
        <w:t xml:space="preserve"> adjudication, are to stand trial as an adult, or are sixteen years of age or older and charged with a Class A, B, C</w:t>
      </w:r>
      <w:r>
        <w:rPr>
          <w:color w:val="000000" w:themeColor="text1"/>
          <w:u w:color="000000" w:themeColor="text1"/>
        </w:rPr>
        <w:t>,</w:t>
      </w:r>
      <w:r w:rsidRPr="00B35065">
        <w:rPr>
          <w:color w:val="000000" w:themeColor="text1"/>
          <w:u w:color="000000" w:themeColor="text1"/>
        </w:rPr>
        <w:t xml:space="preserve"> or D fel</w:t>
      </w:r>
      <w:r>
        <w:rPr>
          <w:color w:val="000000" w:themeColor="text1"/>
          <w:u w:color="000000" w:themeColor="text1"/>
        </w:rPr>
        <w:t xml:space="preserve">ony </w:t>
      </w:r>
      <w:r w:rsidRPr="00B35065">
        <w:rPr>
          <w:color w:val="000000" w:themeColor="text1"/>
          <w:u w:color="000000" w:themeColor="text1"/>
        </w:rPr>
        <w:t>are discharged to county detention centers;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065">
        <w:rPr>
          <w:color w:val="000000" w:themeColor="text1"/>
          <w:u w:color="000000" w:themeColor="text1"/>
        </w:rPr>
        <w:t>Whereas, the conflicting definitions of “juvenile” in state and federal law have led to noncompliance of federal law at some prison facilities in South Carolina that house inmates th</w:t>
      </w:r>
      <w:r>
        <w:rPr>
          <w:color w:val="000000" w:themeColor="text1"/>
          <w:u w:color="000000" w:themeColor="text1"/>
        </w:rPr>
        <w:t>at are seventeen years of age and</w:t>
      </w:r>
      <w:r w:rsidRPr="00B35065">
        <w:rPr>
          <w:color w:val="000000" w:themeColor="text1"/>
          <w:u w:color="000000" w:themeColor="text1"/>
        </w:rPr>
        <w:t xml:space="preserve"> older; and</w:t>
      </w:r>
    </w:p>
    <w:p w:rsidR="005257BA" w:rsidRPr="00B35065"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5065">
        <w:rPr>
          <w:color w:val="000000" w:themeColor="text1"/>
          <w:u w:color="000000" w:themeColor="text1"/>
        </w:rPr>
        <w:t xml:space="preserve">Whereas, in order to facilitate federal compliance at county detention centers concerning the housing of inmates, the definitions of “child” and “juvenile” in South Carolina law </w:t>
      </w:r>
      <w:r>
        <w:rPr>
          <w:color w:val="000000" w:themeColor="text1"/>
          <w:u w:color="000000" w:themeColor="text1"/>
        </w:rPr>
        <w:t>must</w:t>
      </w:r>
      <w:r w:rsidRPr="00B35065">
        <w:rPr>
          <w:color w:val="000000" w:themeColor="text1"/>
          <w:u w:color="000000" w:themeColor="text1"/>
        </w:rPr>
        <w:t xml:space="preserve"> be reconciled with the definitions in federal law.  Now, therefore,</w:t>
      </w:r>
    </w:p>
    <w:p w:rsidR="005257BA" w:rsidRDefault="0052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7BA" w:rsidRPr="00355627" w:rsidRDefault="00D75C86"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57BA" w:rsidRPr="00355627">
        <w:rPr>
          <w:color w:val="000000" w:themeColor="text1"/>
          <w:u w:color="000000" w:themeColor="text1"/>
        </w:rPr>
        <w:t>Section 63</w:t>
      </w:r>
      <w:r w:rsidR="008725FA">
        <w:rPr>
          <w:color w:val="000000" w:themeColor="text1"/>
          <w:u w:color="000000" w:themeColor="text1"/>
        </w:rPr>
        <w:noBreakHyphen/>
      </w:r>
      <w:r w:rsidR="005257BA" w:rsidRPr="00355627">
        <w:rPr>
          <w:color w:val="000000" w:themeColor="text1"/>
          <w:u w:color="000000" w:themeColor="text1"/>
        </w:rPr>
        <w:t>19</w:t>
      </w:r>
      <w:r w:rsidR="008725FA">
        <w:rPr>
          <w:color w:val="000000" w:themeColor="text1"/>
          <w:u w:color="000000" w:themeColor="text1"/>
        </w:rPr>
        <w:noBreakHyphen/>
      </w:r>
      <w:r w:rsidR="005257BA" w:rsidRPr="00355627">
        <w:rPr>
          <w:color w:val="000000" w:themeColor="text1"/>
          <w:u w:color="000000" w:themeColor="text1"/>
        </w:rPr>
        <w:t>20(1) of the 1976 Code is amended to read:</w:t>
      </w: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627">
        <w:rPr>
          <w:color w:val="000000" w:themeColor="text1"/>
          <w:u w:color="000000" w:themeColor="text1"/>
        </w:rPr>
        <w:tab/>
        <w:t>“(1)</w:t>
      </w:r>
      <w:r w:rsidRPr="00355627">
        <w:rPr>
          <w:color w:val="000000" w:themeColor="text1"/>
          <w:u w:color="000000" w:themeColor="text1"/>
        </w:rPr>
        <w:tab/>
      </w:r>
      <w:r w:rsidR="008725FA" w:rsidRPr="008725FA">
        <w:rPr>
          <w:color w:val="000000" w:themeColor="text1"/>
          <w:u w:color="000000" w:themeColor="text1"/>
        </w:rPr>
        <w:t>‘</w:t>
      </w:r>
      <w:r w:rsidRPr="00355627">
        <w:rPr>
          <w:color w:val="000000" w:themeColor="text1"/>
          <w:u w:color="000000" w:themeColor="text1"/>
        </w:rPr>
        <w:t>Child</w:t>
      </w:r>
      <w:r w:rsidR="008725FA" w:rsidRPr="008725FA">
        <w:rPr>
          <w:color w:val="000000" w:themeColor="text1"/>
          <w:u w:color="000000" w:themeColor="text1"/>
        </w:rPr>
        <w:t>’</w:t>
      </w:r>
      <w:r w:rsidRPr="00355627">
        <w:rPr>
          <w:color w:val="000000" w:themeColor="text1"/>
          <w:u w:color="000000" w:themeColor="text1"/>
        </w:rPr>
        <w:t xml:space="preserve"> or </w:t>
      </w:r>
      <w:r w:rsidR="008725FA" w:rsidRPr="008725FA">
        <w:rPr>
          <w:color w:val="000000" w:themeColor="text1"/>
          <w:u w:color="000000" w:themeColor="text1"/>
        </w:rPr>
        <w:t>‘</w:t>
      </w:r>
      <w:r w:rsidRPr="00355627">
        <w:rPr>
          <w:color w:val="000000" w:themeColor="text1"/>
          <w:u w:color="000000" w:themeColor="text1"/>
        </w:rPr>
        <w:t>juvenile</w:t>
      </w:r>
      <w:r w:rsidR="008725FA" w:rsidRPr="008725FA">
        <w:rPr>
          <w:color w:val="000000" w:themeColor="text1"/>
          <w:u w:color="000000" w:themeColor="text1"/>
        </w:rPr>
        <w:t>’</w:t>
      </w:r>
      <w:r w:rsidRPr="00355627">
        <w:rPr>
          <w:color w:val="000000" w:themeColor="text1"/>
          <w:u w:color="000000" w:themeColor="text1"/>
        </w:rPr>
        <w:t xml:space="preserve"> means a person less than seventeen years of age</w:t>
      </w:r>
      <w:r w:rsidRPr="00355627">
        <w:rPr>
          <w:color w:val="000000" w:themeColor="text1"/>
          <w:u w:val="single" w:color="000000" w:themeColor="text1"/>
        </w:rPr>
        <w:t xml:space="preserve">; however, in the case of a pretrial detainee, </w:t>
      </w:r>
      <w:r w:rsidR="008725FA" w:rsidRPr="008725FA">
        <w:rPr>
          <w:color w:val="000000" w:themeColor="text1"/>
          <w:u w:val="single" w:color="000000" w:themeColor="text1"/>
        </w:rPr>
        <w:t>‘</w:t>
      </w:r>
      <w:r w:rsidRPr="00355627">
        <w:rPr>
          <w:color w:val="000000" w:themeColor="text1"/>
          <w:u w:val="single" w:color="000000" w:themeColor="text1"/>
        </w:rPr>
        <w:t>child</w:t>
      </w:r>
      <w:r w:rsidR="008725FA" w:rsidRPr="008725FA">
        <w:rPr>
          <w:color w:val="000000" w:themeColor="text1"/>
          <w:u w:val="single" w:color="000000" w:themeColor="text1"/>
        </w:rPr>
        <w:t>’</w:t>
      </w:r>
      <w:r w:rsidRPr="00355627">
        <w:rPr>
          <w:color w:val="000000" w:themeColor="text1"/>
          <w:u w:val="single" w:color="000000" w:themeColor="text1"/>
        </w:rPr>
        <w:t xml:space="preserve"> or </w:t>
      </w:r>
      <w:r w:rsidR="008725FA" w:rsidRPr="008725FA">
        <w:rPr>
          <w:color w:val="000000" w:themeColor="text1"/>
          <w:u w:val="single" w:color="000000" w:themeColor="text1"/>
        </w:rPr>
        <w:t>‘</w:t>
      </w:r>
      <w:r w:rsidRPr="00355627">
        <w:rPr>
          <w:color w:val="000000" w:themeColor="text1"/>
          <w:u w:val="single" w:color="000000" w:themeColor="text1"/>
        </w:rPr>
        <w:t>juvenile</w:t>
      </w:r>
      <w:r w:rsidR="008725FA" w:rsidRPr="008725FA">
        <w:rPr>
          <w:color w:val="000000" w:themeColor="text1"/>
          <w:u w:val="single" w:color="000000" w:themeColor="text1"/>
        </w:rPr>
        <w:t>’</w:t>
      </w:r>
      <w:r w:rsidRPr="00355627">
        <w:rPr>
          <w:color w:val="000000" w:themeColor="text1"/>
          <w:u w:val="single" w:color="000000" w:themeColor="text1"/>
        </w:rPr>
        <w:t xml:space="preserve"> means a person </w:t>
      </w:r>
      <w:r>
        <w:rPr>
          <w:color w:val="000000" w:themeColor="text1"/>
          <w:u w:val="single" w:color="000000" w:themeColor="text1"/>
        </w:rPr>
        <w:t>who has not attained his</w:t>
      </w:r>
      <w:r w:rsidRPr="00355627">
        <w:rPr>
          <w:color w:val="000000" w:themeColor="text1"/>
          <w:u w:val="single" w:color="000000" w:themeColor="text1"/>
        </w:rPr>
        <w:t xml:space="preserve"> eighteen</w:t>
      </w:r>
      <w:r>
        <w:rPr>
          <w:color w:val="000000" w:themeColor="text1"/>
          <w:u w:val="single" w:color="000000" w:themeColor="text1"/>
        </w:rPr>
        <w:t>th birthday</w:t>
      </w:r>
      <w:r w:rsidRPr="00355627">
        <w:rPr>
          <w:color w:val="000000" w:themeColor="text1"/>
          <w:u w:color="000000" w:themeColor="text1"/>
        </w:rPr>
        <w:t xml:space="preserve">. </w:t>
      </w:r>
      <w:r>
        <w:rPr>
          <w:color w:val="000000" w:themeColor="text1"/>
          <w:u w:color="000000" w:themeColor="text1"/>
        </w:rPr>
        <w:t xml:space="preserve"> </w:t>
      </w:r>
      <w:r w:rsidR="008725FA" w:rsidRPr="008725FA">
        <w:rPr>
          <w:color w:val="000000" w:themeColor="text1"/>
          <w:u w:color="000000" w:themeColor="text1"/>
        </w:rPr>
        <w:t>‘</w:t>
      </w:r>
      <w:r w:rsidRPr="00355627">
        <w:rPr>
          <w:color w:val="000000" w:themeColor="text1"/>
          <w:u w:color="000000" w:themeColor="text1"/>
        </w:rPr>
        <w:t>Child</w:t>
      </w:r>
      <w:r w:rsidR="008725FA" w:rsidRPr="008725FA">
        <w:rPr>
          <w:color w:val="000000" w:themeColor="text1"/>
          <w:u w:color="000000" w:themeColor="text1"/>
        </w:rPr>
        <w:t>’</w:t>
      </w:r>
      <w:r w:rsidRPr="00355627">
        <w:rPr>
          <w:color w:val="000000" w:themeColor="text1"/>
          <w:u w:color="000000" w:themeColor="text1"/>
        </w:rPr>
        <w:t xml:space="preserve"> or </w:t>
      </w:r>
      <w:r w:rsidR="008725FA" w:rsidRPr="008725FA">
        <w:rPr>
          <w:color w:val="000000" w:themeColor="text1"/>
          <w:u w:color="000000" w:themeColor="text1"/>
        </w:rPr>
        <w:t>‘</w:t>
      </w:r>
      <w:r w:rsidRPr="00355627">
        <w:rPr>
          <w:color w:val="000000" w:themeColor="text1"/>
          <w:u w:color="000000" w:themeColor="text1"/>
        </w:rPr>
        <w:t>juvenile</w:t>
      </w:r>
      <w:r w:rsidR="008725FA" w:rsidRPr="008725FA">
        <w:rPr>
          <w:color w:val="000000" w:themeColor="text1"/>
          <w:u w:color="000000" w:themeColor="text1"/>
        </w:rPr>
        <w:t>’</w:t>
      </w:r>
      <w:r w:rsidRPr="00355627">
        <w:rPr>
          <w:color w:val="000000" w:themeColor="text1"/>
          <w:u w:color="000000" w:themeColor="text1"/>
        </w:rPr>
        <w:t xml:space="preserve"> does not mean a person sixteen years of age or older who is </w:t>
      </w:r>
      <w:r w:rsidRPr="00355627">
        <w:rPr>
          <w:strike/>
          <w:color w:val="000000" w:themeColor="text1"/>
          <w:u w:color="000000" w:themeColor="text1"/>
        </w:rPr>
        <w:t>charged with</w:t>
      </w:r>
      <w:r w:rsidRPr="00355627">
        <w:rPr>
          <w:color w:val="000000" w:themeColor="text1"/>
          <w:u w:color="000000" w:themeColor="text1"/>
        </w:rPr>
        <w:t xml:space="preserve"> </w:t>
      </w:r>
      <w:r w:rsidRPr="00355627">
        <w:rPr>
          <w:color w:val="000000" w:themeColor="text1"/>
          <w:u w:val="single" w:color="000000" w:themeColor="text1"/>
        </w:rPr>
        <w:t>convicted of</w:t>
      </w:r>
      <w:r w:rsidRPr="00355627">
        <w:rPr>
          <w:color w:val="000000" w:themeColor="text1"/>
          <w:u w:color="000000" w:themeColor="text1"/>
        </w:rPr>
        <w:t xml:space="preserve"> a Class A, B, C, or D felony as defined in Section 16</w:t>
      </w:r>
      <w:r w:rsidR="008725FA">
        <w:rPr>
          <w:color w:val="000000" w:themeColor="text1"/>
          <w:u w:color="000000" w:themeColor="text1"/>
        </w:rPr>
        <w:noBreakHyphen/>
      </w:r>
      <w:r w:rsidRPr="00355627">
        <w:rPr>
          <w:color w:val="000000" w:themeColor="text1"/>
          <w:u w:color="000000" w:themeColor="text1"/>
        </w:rPr>
        <w:t>1</w:t>
      </w:r>
      <w:r w:rsidR="008725FA">
        <w:rPr>
          <w:color w:val="000000" w:themeColor="text1"/>
          <w:u w:color="000000" w:themeColor="text1"/>
        </w:rPr>
        <w:noBreakHyphen/>
      </w:r>
      <w:r w:rsidRPr="00355627">
        <w:rPr>
          <w:color w:val="000000" w:themeColor="text1"/>
          <w:u w:color="000000" w:themeColor="text1"/>
        </w:rPr>
        <w:t>20 or a felony which provides for a maximum term of imprisonment of fifteen years or more.</w:t>
      </w:r>
      <w:r>
        <w:rPr>
          <w:color w:val="000000" w:themeColor="text1"/>
          <w:u w:color="000000" w:themeColor="text1"/>
        </w:rPr>
        <w:t xml:space="preserve"> </w:t>
      </w:r>
      <w:r w:rsidRPr="00355627">
        <w:rPr>
          <w:color w:val="000000" w:themeColor="text1"/>
          <w:u w:color="000000" w:themeColor="text1"/>
        </w:rPr>
        <w:t xml:space="preserve"> </w:t>
      </w:r>
      <w:r w:rsidRPr="00355627">
        <w:rPr>
          <w:strike/>
          <w:color w:val="000000" w:themeColor="text1"/>
          <w:u w:color="000000" w:themeColor="text1"/>
        </w:rPr>
        <w:t>However,</w:t>
      </w:r>
      <w:r w:rsidRPr="00355627">
        <w:rPr>
          <w:color w:val="000000" w:themeColor="text1"/>
          <w:u w:color="000000" w:themeColor="text1"/>
        </w:rPr>
        <w:t xml:space="preserve"> A person sixteen years of age who is charged with a Class A, B, C, or D felony as defined in Section 16</w:t>
      </w:r>
      <w:r w:rsidR="008725FA">
        <w:rPr>
          <w:color w:val="000000" w:themeColor="text1"/>
          <w:u w:color="000000" w:themeColor="text1"/>
        </w:rPr>
        <w:noBreakHyphen/>
      </w:r>
      <w:r w:rsidRPr="00355627">
        <w:rPr>
          <w:color w:val="000000" w:themeColor="text1"/>
          <w:u w:color="000000" w:themeColor="text1"/>
        </w:rPr>
        <w:t>1</w:t>
      </w:r>
      <w:r w:rsidR="008725FA">
        <w:rPr>
          <w:color w:val="000000" w:themeColor="text1"/>
          <w:u w:color="000000" w:themeColor="text1"/>
        </w:rPr>
        <w:noBreakHyphen/>
      </w:r>
      <w:r w:rsidRPr="00355627">
        <w:rPr>
          <w:color w:val="000000" w:themeColor="text1"/>
          <w:u w:color="000000" w:themeColor="text1"/>
        </w:rPr>
        <w:t xml:space="preserve">20 or a felony which provides for a maximum term of imprisonment of fifteen years or more may be remanded to the family court for disposition of the charge at the discretion of the solicitor. </w:t>
      </w:r>
      <w:r>
        <w:rPr>
          <w:color w:val="000000" w:themeColor="text1"/>
          <w:u w:color="000000" w:themeColor="text1"/>
        </w:rPr>
        <w:t xml:space="preserve"> </w:t>
      </w:r>
      <w:r w:rsidRPr="00355627">
        <w:rPr>
          <w:color w:val="000000" w:themeColor="text1"/>
          <w:u w:color="000000" w:themeColor="text1"/>
        </w:rPr>
        <w:t>An additional or accompanying charge associated with the charges contained in this item must be heard by the court with jurisdiction over the offenses contained in this item.”</w:t>
      </w: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5627">
        <w:rPr>
          <w:color w:val="000000" w:themeColor="text1"/>
          <w:u w:color="000000" w:themeColor="text1"/>
        </w:rPr>
        <w:t>SECTION</w:t>
      </w:r>
      <w:r w:rsidRPr="00355627">
        <w:rPr>
          <w:color w:val="000000" w:themeColor="text1"/>
          <w:u w:color="000000" w:themeColor="text1"/>
        </w:rPr>
        <w:tab/>
        <w:t>2.</w:t>
      </w:r>
      <w:r w:rsidRPr="00355627">
        <w:rPr>
          <w:color w:val="000000" w:themeColor="text1"/>
          <w:u w:color="000000" w:themeColor="text1"/>
        </w:rPr>
        <w:tab/>
        <w:t>Section 63</w:t>
      </w:r>
      <w:r w:rsidR="008725FA">
        <w:rPr>
          <w:color w:val="000000" w:themeColor="text1"/>
          <w:u w:color="000000" w:themeColor="text1"/>
        </w:rPr>
        <w:noBreakHyphen/>
      </w:r>
      <w:r w:rsidRPr="00355627">
        <w:rPr>
          <w:color w:val="000000" w:themeColor="text1"/>
          <w:u w:color="000000" w:themeColor="text1"/>
        </w:rPr>
        <w:t>19</w:t>
      </w:r>
      <w:r w:rsidR="008725FA">
        <w:rPr>
          <w:color w:val="000000" w:themeColor="text1"/>
          <w:u w:color="000000" w:themeColor="text1"/>
        </w:rPr>
        <w:noBreakHyphen/>
      </w:r>
      <w:r w:rsidRPr="00355627">
        <w:rPr>
          <w:color w:val="000000" w:themeColor="text1"/>
          <w:u w:color="000000" w:themeColor="text1"/>
        </w:rPr>
        <w:t>820(C) of the 1976 Code is amended to read:</w:t>
      </w:r>
    </w:p>
    <w:p w:rsidR="005257BA" w:rsidRPr="00355627"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C86" w:rsidRDefault="005257BA" w:rsidP="0052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627">
        <w:rPr>
          <w:color w:val="000000" w:themeColor="text1"/>
          <w:u w:color="000000" w:themeColor="text1"/>
        </w:rPr>
        <w:tab/>
        <w:t>“(C)</w:t>
      </w:r>
      <w:r w:rsidRPr="00355627">
        <w:rPr>
          <w:color w:val="000000" w:themeColor="text1"/>
          <w:u w:color="000000" w:themeColor="text1"/>
        </w:rPr>
        <w:tab/>
        <w:t>No child may be placed in secure confinement or ordered detained by the court in secure confinement in an adult jail or other place of detention for adults for more than six hours.</w:t>
      </w:r>
      <w:r>
        <w:rPr>
          <w:color w:val="000000" w:themeColor="text1"/>
          <w:u w:color="000000" w:themeColor="text1"/>
        </w:rPr>
        <w:t xml:space="preserve"> </w:t>
      </w:r>
      <w:r w:rsidRPr="00355627">
        <w:rPr>
          <w:color w:val="000000" w:themeColor="text1"/>
          <w:u w:color="000000" w:themeColor="text1"/>
        </w:rPr>
        <w:t xml:space="preserve"> </w:t>
      </w:r>
      <w:r w:rsidRPr="00355627">
        <w:rPr>
          <w:strike/>
          <w:color w:val="000000" w:themeColor="text1"/>
          <w:u w:color="000000" w:themeColor="text1"/>
        </w:rPr>
        <w:t xml:space="preserve">However, the </w:t>
      </w:r>
      <w:r w:rsidRPr="00355627">
        <w:rPr>
          <w:strike/>
          <w:color w:val="000000" w:themeColor="text1"/>
          <w:u w:color="000000" w:themeColor="text1"/>
        </w:rPr>
        <w:lastRenderedPageBreak/>
        <w:t>prohibition against the secure confinement of juveniles in adult jails does not apply to juveniles who have been waived to the court of general sessions for the purpose of standing trial as an adult.</w:t>
      </w:r>
      <w:r w:rsidRPr="00355627">
        <w:rPr>
          <w:color w:val="000000" w:themeColor="text1"/>
          <w:u w:color="000000" w:themeColor="text1"/>
        </w:rPr>
        <w:t xml:space="preserve"> Juveniles placed in secure confinement in an adult jail during this six</w:t>
      </w:r>
      <w:r w:rsidR="008725FA">
        <w:rPr>
          <w:color w:val="000000" w:themeColor="text1"/>
          <w:u w:color="000000" w:themeColor="text1"/>
        </w:rPr>
        <w:noBreakHyphen/>
      </w:r>
      <w:r w:rsidRPr="00355627">
        <w:rPr>
          <w:color w:val="000000" w:themeColor="text1"/>
          <w:u w:color="000000" w:themeColor="text1"/>
        </w:rPr>
        <w:t>hour period must be confined in an area of the jail which is separated by sight and sound from adults similarly confined.”</w:t>
      </w:r>
    </w:p>
    <w:p w:rsidR="00D75C86"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7BA">
        <w:t>3</w:t>
      </w:r>
      <w:r>
        <w:t>.</w:t>
      </w:r>
      <w:r>
        <w:tab/>
        <w:t>This act takes effect upon approval by the Governor.</w:t>
      </w:r>
    </w:p>
    <w:p w:rsidR="00A00BE8" w:rsidRDefault="008725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BE8" w:rsidRDefault="00A00BE8" w:rsidP="00A00BE8">
      <w:pPr>
        <w:suppressAutoHyphens/>
      </w:pPr>
    </w:p>
    <w:sectPr w:rsidR="00A00BE8" w:rsidSect="00A00B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7BA" w:rsidRDefault="005257BA" w:rsidP="009F0C77">
      <w:r>
        <w:separator/>
      </w:r>
    </w:p>
  </w:endnote>
  <w:endnote w:type="continuationSeparator" w:id="0">
    <w:p w:rsidR="005257BA" w:rsidRDefault="00525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3802B8-5E99-4684-8A05-BCDE569190A2}"/>
    <w:embedBold r:id="rId2" w:fontKey="{338C1863-7B88-4B63-A929-906A8C68F90C}"/>
  </w:font>
  <w:font w:name="Calibri">
    <w:panose1 w:val="020F0502020204030204"/>
    <w:charset w:val="00"/>
    <w:family w:val="swiss"/>
    <w:pitch w:val="variable"/>
    <w:sig w:usb0="E10002FF" w:usb1="4000ACFF" w:usb2="00000009" w:usb3="00000000" w:csb0="0000019F" w:csb1="00000000"/>
    <w:embedRegular r:id="rId3" w:fontKey="{CA8F1449-AACF-4A41-81D0-7F1E7405D452}"/>
  </w:font>
  <w:font w:name="Cambria">
    <w:panose1 w:val="02040503050406030204"/>
    <w:charset w:val="00"/>
    <w:family w:val="roman"/>
    <w:pitch w:val="variable"/>
    <w:sig w:usb0="E00002FF" w:usb1="400004FF" w:usb2="00000000" w:usb3="00000000" w:csb0="0000019F" w:csb1="00000000"/>
    <w:embedRegular r:id="rId4" w:fontKey="{9CBD5FDC-1944-41BF-A382-4F626DB3E9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D0E" w:rsidRPr="00A00BE8" w:rsidRDefault="00A00BE8" w:rsidP="00A00BE8">
    <w:pPr>
      <w:pStyle w:val="Footer"/>
      <w:tabs>
        <w:tab w:val="clear" w:pos="4680"/>
        <w:tab w:val="clear" w:pos="9360"/>
        <w:tab w:val="center" w:pos="2995"/>
      </w:tabs>
      <w:spacing w:before="120"/>
    </w:pPr>
    <w:r>
      <w:t>[1244]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7BA" w:rsidRDefault="005257BA" w:rsidP="009F0C77">
      <w:r>
        <w:separator/>
      </w:r>
    </w:p>
  </w:footnote>
  <w:footnote w:type="continuationSeparator" w:id="0">
    <w:p w:rsidR="005257BA" w:rsidRDefault="00525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67DG14"/>
    <w:docVar w:name="CoverBillType" w:val="b"/>
    <w:docVar w:name="docpath" w:val="L:\Council\bills\BBM\9067DG14.DOCX"/>
    <w:docVar w:name="dvBillNumber" w:val="1244"/>
    <w:docVar w:name="dvBillNumberPrefix" w:val="S. "/>
    <w:docVar w:name="dvOriginalBody" w:val="Senate"/>
    <w:docVar w:name="dvSteno" w:val="BBM"/>
    <w:docVar w:name="NameofBody" w:val="s"/>
    <w:docVar w:name="vgroup2" w:val="Council"/>
  </w:docVars>
  <w:rsids>
    <w:rsidRoot w:val="00BE006F"/>
    <w:rsid w:val="00026C9A"/>
    <w:rsid w:val="000965A1"/>
    <w:rsid w:val="000E1785"/>
    <w:rsid w:val="000F39F2"/>
    <w:rsid w:val="001023A4"/>
    <w:rsid w:val="0010776B"/>
    <w:rsid w:val="00133E66"/>
    <w:rsid w:val="00134ACF"/>
    <w:rsid w:val="00144E15"/>
    <w:rsid w:val="001A4A62"/>
    <w:rsid w:val="001A681E"/>
    <w:rsid w:val="001D08F2"/>
    <w:rsid w:val="001F18E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57BA"/>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5FA"/>
    <w:rsid w:val="00872729"/>
    <w:rsid w:val="008B3397"/>
    <w:rsid w:val="008F4429"/>
    <w:rsid w:val="00932670"/>
    <w:rsid w:val="009352BB"/>
    <w:rsid w:val="00943D0E"/>
    <w:rsid w:val="00990668"/>
    <w:rsid w:val="009F0C77"/>
    <w:rsid w:val="009F4DD1"/>
    <w:rsid w:val="00A00BE8"/>
    <w:rsid w:val="00A64E80"/>
    <w:rsid w:val="00A741D9"/>
    <w:rsid w:val="00A9741D"/>
    <w:rsid w:val="00AD4B17"/>
    <w:rsid w:val="00B12961"/>
    <w:rsid w:val="00B26FA6"/>
    <w:rsid w:val="00B741CB"/>
    <w:rsid w:val="00B934F3"/>
    <w:rsid w:val="00BB6347"/>
    <w:rsid w:val="00BD2134"/>
    <w:rsid w:val="00BE006F"/>
    <w:rsid w:val="00C038D8"/>
    <w:rsid w:val="00C045DD"/>
    <w:rsid w:val="00C3136F"/>
    <w:rsid w:val="00C3483A"/>
    <w:rsid w:val="00C74E9D"/>
    <w:rsid w:val="00C82FD3"/>
    <w:rsid w:val="00CC6B7B"/>
    <w:rsid w:val="00CD3619"/>
    <w:rsid w:val="00CF4447"/>
    <w:rsid w:val="00D405E7"/>
    <w:rsid w:val="00D41D56"/>
    <w:rsid w:val="00D6260D"/>
    <w:rsid w:val="00D6662B"/>
    <w:rsid w:val="00D75C86"/>
    <w:rsid w:val="00D95E2F"/>
    <w:rsid w:val="00D970A9"/>
    <w:rsid w:val="00DB3AC0"/>
    <w:rsid w:val="00DE68F0"/>
    <w:rsid w:val="00DF3845"/>
    <w:rsid w:val="00DF7E17"/>
    <w:rsid w:val="00E44E8F"/>
    <w:rsid w:val="00EB00A2"/>
    <w:rsid w:val="00EB1BF3"/>
    <w:rsid w:val="00ED6E8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310FD-D612-483D-810C-A420EFC8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2014-04-29T20:02:00Z</dcterms:created>
  <dcterms:modified xsi:type="dcterms:W3CDTF">2014-04-29T20:02:00Z</dcterms:modified>
</cp:coreProperties>
</file>