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CA" w:rsidRDefault="00137ACA" w:rsidP="001D7F4F">
      <w:pPr>
        <w:pStyle w:val="BillDots"/>
      </w:pPr>
      <w:r>
        <w:rPr>
          <w:strike/>
        </w:rPr>
        <w:t>Indicates Matter Stricken</w:t>
      </w:r>
    </w:p>
    <w:p w:rsidR="00137ACA" w:rsidRPr="00137ACA" w:rsidRDefault="00137ACA" w:rsidP="001D7F4F">
      <w:pPr>
        <w:pStyle w:val="BillDots"/>
      </w:pPr>
      <w:r>
        <w:rPr>
          <w:u w:val="single"/>
        </w:rPr>
        <w:t>Indicates New Matter</w:t>
      </w:r>
    </w:p>
    <w:p w:rsidR="00137ACA" w:rsidRDefault="00137ACA" w:rsidP="001D7F4F">
      <w:pPr>
        <w:pStyle w:val="BillDots"/>
      </w:pPr>
    </w:p>
    <w:p w:rsidR="00137ACA" w:rsidRDefault="00137ACA" w:rsidP="001D7F4F">
      <w:pPr>
        <w:pStyle w:val="BillDots"/>
      </w:pPr>
      <w:r>
        <w:t>COMMITTEE REPORT</w:t>
      </w:r>
    </w:p>
    <w:p w:rsidR="00137ACA" w:rsidRDefault="00137ACA" w:rsidP="001D7F4F">
      <w:pPr>
        <w:pStyle w:val="BillDots"/>
      </w:pPr>
      <w:r>
        <w:t>March 11, 2013</w:t>
      </w:r>
    </w:p>
    <w:p w:rsidR="00137ACA" w:rsidRDefault="00137ACA" w:rsidP="001D7F4F">
      <w:pPr>
        <w:pStyle w:val="BillDots"/>
      </w:pPr>
    </w:p>
    <w:p w:rsidR="00137ACA" w:rsidRPr="00137ACA" w:rsidRDefault="00137ACA" w:rsidP="00137ACA">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137ACA" w:rsidRDefault="00137ACA" w:rsidP="001D7F4F">
      <w:pPr>
        <w:pStyle w:val="BillDots"/>
      </w:pPr>
    </w:p>
    <w:p w:rsidR="00137ACA" w:rsidRDefault="00137ACA" w:rsidP="00137ACA">
      <w:pPr>
        <w:pStyle w:val="BillDots"/>
      </w:pPr>
      <w:r>
        <w:t xml:space="preserve">Introduced by Reps. Daning, J.E. Smith, Crosby, R.L. Brown, </w:t>
      </w:r>
      <w:r w:rsidR="002D3204">
        <w:t>M.S. McLeod</w:t>
      </w:r>
      <w:r>
        <w:t>, Taylor, J.R. Smith, Wells and Hixon</w:t>
      </w:r>
    </w:p>
    <w:p w:rsidR="00137ACA" w:rsidRDefault="00137ACA" w:rsidP="001D7F4F">
      <w:pPr>
        <w:pStyle w:val="BillDots"/>
      </w:pPr>
    </w:p>
    <w:p w:rsidR="00137ACA" w:rsidRDefault="00137ACA" w:rsidP="002D3204">
      <w:pPr>
        <w:pStyle w:val="BillDots"/>
        <w:tabs>
          <w:tab w:val="clear" w:pos="216"/>
          <w:tab w:val="clear" w:pos="432"/>
          <w:tab w:val="clear" w:pos="648"/>
          <w:tab w:val="clear" w:pos="864"/>
          <w:tab w:val="clear" w:pos="1080"/>
          <w:tab w:val="clear" w:pos="1296"/>
          <w:tab w:val="clear" w:pos="5904"/>
          <w:tab w:val="right" w:pos="5933"/>
        </w:tabs>
      </w:pPr>
      <w:r>
        <w:t>S. Printed 3/11/13--H.</w:t>
      </w:r>
      <w:r w:rsidR="002D3204">
        <w:tab/>
        <w:t>[SEC 3/12/13 9:47 AM]</w:t>
      </w:r>
    </w:p>
    <w:p w:rsidR="00137ACA" w:rsidRDefault="00137ACA" w:rsidP="001D7F4F">
      <w:pPr>
        <w:pStyle w:val="BillDots"/>
      </w:pPr>
      <w:r>
        <w:t>Read the first time January 8, 2013.</w:t>
      </w:r>
    </w:p>
    <w:p w:rsidR="00137ACA" w:rsidRPr="00137ACA" w:rsidRDefault="00137ACA" w:rsidP="00137ACA">
      <w:pPr>
        <w:pStyle w:val="BillDots"/>
        <w:jc w:val="center"/>
      </w:pPr>
      <w:r>
        <w:rPr>
          <w:u w:val="single"/>
        </w:rPr>
        <w:t>            </w:t>
      </w:r>
    </w:p>
    <w:p w:rsidR="00137ACA" w:rsidRDefault="00137ACA" w:rsidP="001D7F4F">
      <w:pPr>
        <w:pStyle w:val="BillDots"/>
      </w:pPr>
    </w:p>
    <w:p w:rsidR="00137ACA" w:rsidRPr="00137ACA" w:rsidRDefault="00137ACA" w:rsidP="00137ACA">
      <w:pPr>
        <w:pStyle w:val="BillDots"/>
        <w:jc w:val="center"/>
      </w:pPr>
      <w:r>
        <w:rPr>
          <w:b/>
        </w:rPr>
        <w:t>THE COMMITTEE ON EDUCATION AND PUBLIC WORKS</w:t>
      </w:r>
    </w:p>
    <w:p w:rsidR="00137ACA" w:rsidRDefault="00137ACA" w:rsidP="001D7F4F">
      <w:pPr>
        <w:pStyle w:val="BillDots"/>
      </w:pPr>
      <w:r>
        <w:tab/>
        <w:t>To whom was referred a Bill (H. 3086) to amend Section 59</w:t>
      </w:r>
      <w:r>
        <w:noBreakHyphen/>
        <w:t>112</w:t>
      </w:r>
      <w:r>
        <w:noBreakHyphen/>
        <w:t>50, as amended, Code of Laws of South Carolina, 1976, relating to in</w:t>
      </w:r>
      <w:r>
        <w:noBreakHyphen/>
        <w:t>state tuition rates for military personnel and their, etc., respectfully</w:t>
      </w:r>
    </w:p>
    <w:p w:rsidR="00137ACA" w:rsidRPr="00137ACA" w:rsidRDefault="00137ACA" w:rsidP="00137ACA">
      <w:pPr>
        <w:pStyle w:val="BillDots"/>
        <w:jc w:val="center"/>
      </w:pPr>
      <w:r>
        <w:rPr>
          <w:b/>
        </w:rPr>
        <w:t>REPORT:</w:t>
      </w:r>
    </w:p>
    <w:p w:rsidR="00137ACA" w:rsidRDefault="00137ACA" w:rsidP="001D7F4F">
      <w:pPr>
        <w:pStyle w:val="BillDots"/>
      </w:pPr>
      <w:r>
        <w:tab/>
        <w:t>That they have duly and carefully considered the same and recommend that the same do pass with amendment:</w:t>
      </w:r>
    </w:p>
    <w:p w:rsidR="00137ACA" w:rsidRDefault="00137ACA" w:rsidP="001D7F4F">
      <w:pPr>
        <w:pStyle w:val="BillDots"/>
      </w:pP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Amend the bill, as and if amended, by striking all after the enacting words and inserting:</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 SECTION</w:t>
      </w:r>
      <w:r w:rsidRPr="00DD5F01">
        <w:tab/>
        <w:t>1.</w:t>
      </w:r>
      <w:r w:rsidRPr="00DD5F01">
        <w:tab/>
        <w:t>Section 59</w:t>
      </w:r>
      <w:r w:rsidRPr="00DD5F01">
        <w:noBreakHyphen/>
        <w:t>112</w:t>
      </w:r>
      <w:r w:rsidRPr="00DD5F01">
        <w:noBreakHyphen/>
        <w:t>50 of the 1976 Code, as last amended by Act 133 of 2012, is further amended to read:</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Pr="00DD5F01">
        <w:noBreakHyphen/>
        <w:t>112</w:t>
      </w:r>
      <w:r w:rsidRPr="00DD5F01">
        <w:noBreakHyphen/>
        <w:t>50.</w:t>
      </w:r>
      <w:r w:rsidRPr="00DD5F01">
        <w:tab/>
        <w:t>(A)</w:t>
      </w:r>
      <w:r w:rsidRPr="00DD5F01">
        <w:rPr>
          <w:u w:val="single" w:color="000000" w:themeColor="text1"/>
        </w:rPr>
        <w:t>(1)</w:t>
      </w:r>
      <w:r w:rsidRPr="00DD5F01">
        <w:rPr>
          <w:u w:color="000000" w:themeColor="text1"/>
        </w:rPr>
        <w:t xml:space="preserve"> Notwithstanding another provision of law, during the period of their assignment to duty in South Carolina, members of the Armed Services of the United States stationed in South Carolina and their dependents are eligible for in</w:t>
      </w:r>
      <w:r w:rsidRPr="00DD5F01">
        <w:rPr>
          <w:u w:color="000000" w:themeColor="text1"/>
        </w:rPr>
        <w:noBreakHyphen/>
        <w:t>state tuition rates. When these armed service personnel are ordered away from the State, their dependents are eligible for in</w:t>
      </w:r>
      <w:r w:rsidRPr="00DD5F01">
        <w:rPr>
          <w:u w:color="000000" w:themeColor="text1"/>
        </w:rPr>
        <w:noBreakHyphen/>
        <w:t xml:space="preserve">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w:t>
      </w:r>
      <w:r w:rsidRPr="00DD5F01">
        <w:rPr>
          <w:u w:color="000000" w:themeColor="text1"/>
        </w:rPr>
        <w:lastRenderedPageBreak/>
        <w:t>eligibility for in</w:t>
      </w:r>
      <w:r w:rsidRPr="00DD5F01">
        <w:rPr>
          <w:u w:color="000000" w:themeColor="text1"/>
        </w:rPr>
        <w:noBreakHyphen/>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sidRPr="00DD5F01">
        <w:rPr>
          <w:strike/>
          <w:u w:color="000000" w:themeColor="text1"/>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For purposes of this section, ‘active duty military personnel’ includes, but is not limited to, active duty guardsmen and active duty reservists.</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Pr="00DD5F01">
        <w:rPr>
          <w:u w:val="single" w:color="000000" w:themeColor="text1"/>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DD5F01">
        <w:rPr>
          <w:u w:color="000000" w:themeColor="text1"/>
        </w:rPr>
        <w:t xml:space="preserve">”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D5F01">
        <w:rPr>
          <w:u w:color="000000" w:themeColor="text1"/>
        </w:rPr>
        <w:t>SECTION</w:t>
      </w:r>
      <w:r w:rsidRPr="00DD5F01">
        <w:rPr>
          <w:u w:color="000000" w:themeColor="text1"/>
        </w:rPr>
        <w:tab/>
        <w:t>2.</w:t>
      </w:r>
      <w:r w:rsidRPr="00DD5F01">
        <w:rPr>
          <w:u w:color="000000" w:themeColor="text1"/>
        </w:rPr>
        <w:tab/>
        <w:t>This act takes effect July 1, 2013.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Renumber sections to conform.</w:t>
      </w:r>
    </w:p>
    <w:p w:rsidR="00137ACA"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Amend title to conform.</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7ACA" w:rsidRDefault="00137ACA" w:rsidP="001D7F4F">
      <w:pPr>
        <w:pStyle w:val="BillDots"/>
      </w:pPr>
      <w:r>
        <w:t>PHILLIP D. OWENS for Committee.</w:t>
      </w:r>
    </w:p>
    <w:p w:rsidR="00137ACA" w:rsidRPr="00137ACA" w:rsidRDefault="00137ACA" w:rsidP="00137ACA">
      <w:pPr>
        <w:pStyle w:val="BillDots"/>
        <w:jc w:val="center"/>
      </w:pPr>
      <w:r>
        <w:rPr>
          <w:u w:val="single"/>
        </w:rPr>
        <w:t>            </w:t>
      </w:r>
    </w:p>
    <w:p w:rsidR="00137ACA" w:rsidRDefault="00137ACA" w:rsidP="001D7F4F">
      <w:pPr>
        <w:pStyle w:val="BillDots"/>
      </w:pPr>
    </w:p>
    <w:p w:rsidR="00137ACA" w:rsidRPr="00137ACA" w:rsidRDefault="00137ACA" w:rsidP="00137ACA">
      <w:pPr>
        <w:pStyle w:val="BillDots"/>
        <w:jc w:val="center"/>
      </w:pPr>
      <w:r>
        <w:rPr>
          <w:b/>
          <w:u w:val="single"/>
        </w:rPr>
        <w:t>STATEMENT OF ESTIMATED FISCAL IMPACT</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2A09">
        <w:rPr>
          <w:szCs w:val="22"/>
        </w:rPr>
        <w:t>ESTIMATED FISCAL IMPACT ON GENERAL FUND EXPENDITURES:</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2A09">
        <w:rPr>
          <w:szCs w:val="22"/>
        </w:rPr>
        <w:t>See Below</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2A09">
        <w:rPr>
          <w:szCs w:val="22"/>
        </w:rPr>
        <w:t>ESTIMATED FISCAL IMPACT ON FEDERAL &amp; OTHER FUND EXPENDITURES:</w:t>
      </w:r>
    </w:p>
    <w:p w:rsidR="00137ACA" w:rsidRPr="007B2A09" w:rsidRDefault="00137ACA" w:rsidP="00137A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B2A09">
        <w:rPr>
          <w:szCs w:val="22"/>
        </w:rPr>
        <w:t>See Below</w:t>
      </w:r>
      <w:bookmarkStart w:id="2" w:name="c"/>
      <w:bookmarkEnd w:id="2"/>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A09">
        <w:rPr>
          <w:b/>
          <w:szCs w:val="22"/>
        </w:rPr>
        <w:t>EXPLANATION OF IMPACT:</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B2A09">
        <w:rPr>
          <w:szCs w:val="22"/>
        </w:rPr>
        <w:t xml:space="preserve">Based on the colleges’ and universities’ individual responses to the Commission on Higher Education (CHE) survey, the </w:t>
      </w:r>
      <w:r w:rsidRPr="007B2A09">
        <w:rPr>
          <w:szCs w:val="22"/>
        </w:rPr>
        <w:lastRenderedPageBreak/>
        <w:t>legislation would impact tuition and fee revenues collected. The provision would enable eligible students to pay in-state rates for the year during which in-state residency is being established, and retain the in-state rate for each year following that they remain enrolled. The cost results from loss of the tuition differential for each eligible student.  For undergraduate full-time students, the in-state, out-of-state student tuition differential per student in FY2012-13 ranged from $1,608 to $18,253. For graduate students, (excluding law, medicine and pharmacy) the differential per student ranges from $4,302 to $16,924 (see the attached Schedule).</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7B2A09">
        <w:rPr>
          <w:szCs w:val="22"/>
        </w:rPr>
        <w:t>Currently, CHE does not collect data in such a way to determine the number of students who might become eligible or seek eligibility for in-state tuition and fee rates under the proposed amendment. As well, data is not readily available to aid in determining the amount of revenue that institutions would forgo, if the provision were enacted.</w:t>
      </w:r>
      <w:r w:rsidRPr="007B2A09">
        <w:rPr>
          <w:noProof/>
          <w:szCs w:val="22"/>
        </w:rPr>
        <w:t xml:space="preserve"> </w:t>
      </w:r>
      <w:r w:rsidRPr="007B2A09">
        <w:rPr>
          <w:szCs w:val="22"/>
        </w:rPr>
        <w:t>Therefore, specific costs estimates could not be calculated.</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7B2A09">
        <w:rPr>
          <w:szCs w:val="22"/>
        </w:rPr>
        <w:t xml:space="preserve">The state's colleges and universities receive a combination of general fund appropriations and student tuition and fees for support of educational and general operating needs. If any one institution has substantial numbers of eligible students and the loss in revenue resulting from the enactment of the provision is not covered by increased state general funds, an increase to student tuition and fees would be needed to comply with the legislation.  </w:t>
      </w:r>
    </w:p>
    <w:p w:rsidR="00137ACA" w:rsidRDefault="00137ACA" w:rsidP="001D7F4F">
      <w:pPr>
        <w:pStyle w:val="BillDots"/>
      </w:pPr>
    </w:p>
    <w:p w:rsid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t>Brenda Hart</w:t>
      </w:r>
    </w:p>
    <w:p w:rsidR="00137ACA" w:rsidRP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7ACA" w:rsidRDefault="00137ACA" w:rsidP="001D7F4F">
      <w:pPr>
        <w:pStyle w:val="BillDots"/>
      </w:pPr>
    </w:p>
    <w:p w:rsidR="00137ACA" w:rsidRDefault="00137ACA" w:rsidP="001D7F4F">
      <w:pPr>
        <w:pStyle w:val="BillDots"/>
        <w:sectPr w:rsidR="00137ACA"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413E34"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2605">
        <w:t>Section 59</w:t>
      </w:r>
      <w:r w:rsidR="000D57A9">
        <w:noBreakHyphen/>
      </w:r>
      <w:r w:rsidR="00D62605">
        <w:t>112</w:t>
      </w:r>
      <w:r w:rsidR="000D57A9">
        <w:noBreakHyphen/>
      </w:r>
      <w:r w:rsidR="00D62605">
        <w:t xml:space="preserve">50 of the 1976 Code, as last amended by Act </w:t>
      </w:r>
      <w:r w:rsidR="005F3370">
        <w:t>133</w:t>
      </w:r>
      <w:r w:rsidR="00D62605">
        <w:t xml:space="preserve"> of </w:t>
      </w:r>
      <w:r w:rsidR="005F3370">
        <w:t>2012</w:t>
      </w:r>
      <w:r w:rsidR="00D62605">
        <w:t>, is further amended to read:</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2D" w:rsidRDefault="00D62605"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0D57A9">
        <w:noBreakHyphen/>
      </w:r>
      <w:r>
        <w:t>112</w:t>
      </w:r>
      <w:r w:rsidR="000D57A9">
        <w:noBreakHyphen/>
      </w:r>
      <w:r>
        <w:t>50.</w:t>
      </w:r>
      <w:r>
        <w:tab/>
      </w:r>
      <w:r w:rsidRPr="005F3370">
        <w:t>(A)</w:t>
      </w:r>
      <w:r w:rsidR="005F3370">
        <w:rPr>
          <w:color w:val="000000" w:themeColor="text1"/>
          <w:u w:val="single" w:color="000000" w:themeColor="text1"/>
        </w:rPr>
        <w:t>(1)</w:t>
      </w:r>
      <w:r w:rsidR="005F3370">
        <w:rPr>
          <w:color w:val="000000" w:themeColor="text1"/>
          <w:u w:color="000000" w:themeColor="text1"/>
        </w:rPr>
        <w:tab/>
      </w:r>
      <w:r w:rsidR="00024F2D" w:rsidRPr="00913891">
        <w:rPr>
          <w:color w:val="000000" w:themeColor="text1"/>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When these armed service personnel are ordered away from the State,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0D57A9" w:rsidRPr="000D57A9">
        <w:rPr>
          <w:color w:val="000000" w:themeColor="text1"/>
          <w:u w:color="000000" w:themeColor="text1"/>
        </w:rPr>
        <w:t>’</w:t>
      </w:r>
      <w:r w:rsidR="00024F2D" w:rsidRPr="00913891">
        <w:rPr>
          <w:color w:val="000000" w:themeColor="text1"/>
          <w:u w:color="000000" w:themeColor="text1"/>
        </w:rPr>
        <w:t>s previous institution in order to certify the student</w:t>
      </w:r>
      <w:r w:rsidR="000D57A9" w:rsidRPr="000D57A9">
        <w:rPr>
          <w:color w:val="000000" w:themeColor="text1"/>
          <w:u w:color="000000" w:themeColor="text1"/>
        </w:rPr>
        <w:t>’</w:t>
      </w:r>
      <w:r w:rsidR="00024F2D" w:rsidRPr="00913891">
        <w:rPr>
          <w:color w:val="000000" w:themeColor="text1"/>
          <w:u w:color="000000" w:themeColor="text1"/>
        </w:rPr>
        <w:t>s eligibility for in</w:t>
      </w:r>
      <w:r w:rsidR="000D57A9">
        <w:rPr>
          <w:color w:val="000000" w:themeColor="text1"/>
          <w:u w:color="000000" w:themeColor="text1"/>
        </w:rPr>
        <w:noBreakHyphen/>
      </w:r>
      <w:r w:rsidR="00024F2D" w:rsidRPr="00913891">
        <w:rPr>
          <w:color w:val="000000" w:themeColor="text1"/>
          <w:u w:color="000000" w:themeColor="text1"/>
        </w:rPr>
        <w:t xml:space="preserve">state tuition rates. It is the responsibility of the transferring student to ensure that all documents required to verify both the previous and present residency decisions are provided to the institution. These persons and their dependents are eligible for </w:t>
      </w:r>
      <w:r w:rsidR="00024F2D" w:rsidRPr="00913891">
        <w:rPr>
          <w:color w:val="000000" w:themeColor="text1"/>
          <w:u w:color="000000" w:themeColor="text1"/>
        </w:rPr>
        <w:lastRenderedPageBreak/>
        <w:t>in</w:t>
      </w:r>
      <w:r w:rsidR="000D57A9">
        <w:rPr>
          <w:color w:val="000000" w:themeColor="text1"/>
          <w:u w:color="000000" w:themeColor="text1"/>
        </w:rPr>
        <w:noBreakHyphen/>
      </w:r>
      <w:r w:rsidR="00024F2D" w:rsidRPr="00913891">
        <w:rPr>
          <w:color w:val="000000" w:themeColor="text1"/>
          <w:u w:color="000000" w:themeColor="text1"/>
        </w:rPr>
        <w:t>state tuition rates after their discharge from the armed services even though they were not enrolled at a state institution at the time of their discharge</w:t>
      </w:r>
      <w:r w:rsidR="00024F2D" w:rsidRPr="005F3370">
        <w:rPr>
          <w:strike/>
          <w:color w:val="000000" w:themeColor="text1"/>
          <w:u w:color="000000" w:themeColor="text1"/>
        </w:rPr>
        <w:t>, if they have evidenced an intent to establish domicile in South Carolina and if they have resided in South Carolina for a period of at least twelve months immediately preceding their discharge</w:t>
      </w:r>
      <w:r w:rsidR="005F3370">
        <w:rPr>
          <w:color w:val="000000" w:themeColor="text1"/>
          <w:u w:color="000000" w:themeColor="text1"/>
        </w:rPr>
        <w:t xml:space="preserve"> </w:t>
      </w:r>
      <w:r w:rsidR="005F3370">
        <w:rPr>
          <w:color w:val="000000" w:themeColor="text1"/>
          <w:u w:val="single" w:color="000000" w:themeColor="text1"/>
        </w:rPr>
        <w:t>under the terms and conditions specified in subsection (B)</w:t>
      </w:r>
      <w:r w:rsidR="00024F2D" w:rsidRPr="00913891">
        <w:rPr>
          <w:color w:val="000000" w:themeColor="text1"/>
          <w:u w:color="000000" w:themeColor="text1"/>
        </w:rPr>
        <w:t>.</w:t>
      </w:r>
      <w:r w:rsidR="005F3370">
        <w:rPr>
          <w:color w:val="000000" w:themeColor="text1"/>
          <w:u w:color="000000" w:themeColor="text1"/>
        </w:rPr>
        <w:t xml:space="preserve"> </w:t>
      </w:r>
      <w:r w:rsidR="00024F2D" w:rsidRPr="00913891">
        <w:rPr>
          <w:color w:val="000000" w:themeColor="text1"/>
          <w:u w:color="000000" w:themeColor="text1"/>
        </w:rPr>
        <w:t xml:space="preserve"> Active duty military personnel may be charged less than the undergraduate tuition rate for South Carolina residents for courses that are presented on a distance basis, regardless of residency. </w:t>
      </w:r>
    </w:p>
    <w:p w:rsidR="005F3370"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F2D" w:rsidRPr="005F3370">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00024F2D" w:rsidRPr="005F3370">
        <w:rPr>
          <w:color w:val="000000" w:themeColor="text1"/>
          <w:u w:color="000000" w:themeColor="text1"/>
        </w:rPr>
        <w:t xml:space="preserve"> For purposes of </w:t>
      </w:r>
      <w:r w:rsidR="00024F2D" w:rsidRPr="005F3370">
        <w:rPr>
          <w:strike/>
          <w:color w:val="000000" w:themeColor="text1"/>
          <w:u w:color="000000" w:themeColor="text1"/>
        </w:rPr>
        <w:t>this section</w:t>
      </w:r>
      <w:r>
        <w:rPr>
          <w:color w:val="000000" w:themeColor="text1"/>
          <w:u w:color="000000" w:themeColor="text1"/>
        </w:rPr>
        <w:t xml:space="preserve"> </w:t>
      </w:r>
      <w:r>
        <w:rPr>
          <w:color w:val="000000" w:themeColor="text1"/>
          <w:u w:val="single" w:color="000000" w:themeColor="text1"/>
        </w:rPr>
        <w:t>subsection (A)</w:t>
      </w:r>
      <w:r w:rsidR="00024F2D" w:rsidRPr="005F3370">
        <w:rPr>
          <w:color w:val="000000" w:themeColor="text1"/>
          <w:u w:color="000000" w:themeColor="text1"/>
        </w:rPr>
        <w:t xml:space="preserve">, </w:t>
      </w:r>
      <w:r w:rsidR="000D57A9" w:rsidRPr="000D57A9">
        <w:rPr>
          <w:color w:val="000000" w:themeColor="text1"/>
          <w:u w:color="000000" w:themeColor="text1"/>
        </w:rPr>
        <w:t>‘</w:t>
      </w:r>
      <w:r w:rsidR="00024F2D" w:rsidRPr="005F3370">
        <w:rPr>
          <w:color w:val="000000" w:themeColor="text1"/>
          <w:u w:color="000000" w:themeColor="text1"/>
        </w:rPr>
        <w:t>active duty military personnel</w:t>
      </w:r>
      <w:r w:rsidR="000D57A9" w:rsidRPr="000D57A9">
        <w:rPr>
          <w:color w:val="000000" w:themeColor="text1"/>
          <w:u w:color="000000" w:themeColor="text1"/>
        </w:rPr>
        <w:t>’</w:t>
      </w:r>
      <w:r w:rsidR="00024F2D" w:rsidRPr="005F3370">
        <w:rPr>
          <w:color w:val="000000" w:themeColor="text1"/>
          <w:u w:color="000000" w:themeColor="text1"/>
        </w:rPr>
        <w:t xml:space="preserve"> includes, but is not limited to, active duty guardsmen and active duty reservists.</w:t>
      </w:r>
    </w:p>
    <w:p w:rsidR="00D62605" w:rsidRPr="00B16603"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D62605" w:rsidRPr="005F3370">
        <w:rPr>
          <w:u w:val="single"/>
        </w:rPr>
        <w:t>(B)</w:t>
      </w:r>
      <w:r w:rsidR="00D62605" w:rsidRPr="005F3370">
        <w:tab/>
      </w:r>
      <w:r w:rsidRPr="005F3370">
        <w:rPr>
          <w:u w:val="single"/>
        </w:rPr>
        <w:t xml:space="preserve">A </w:t>
      </w:r>
      <w:r w:rsidR="00D62605" w:rsidRPr="005F3370">
        <w:rPr>
          <w:u w:val="single"/>
        </w:rPr>
        <w:t>veteran of the Armed Services of the United States who has been honorably discharged</w:t>
      </w:r>
      <w:r w:rsidR="00D62605" w:rsidRPr="005F3370">
        <w:rPr>
          <w:color w:val="000000" w:themeColor="text1"/>
          <w:u w:val="single" w:color="000000" w:themeColor="text1"/>
        </w:rPr>
        <w:t>, and their dependents</w:t>
      </w:r>
      <w:r>
        <w:rPr>
          <w:color w:val="000000" w:themeColor="text1"/>
          <w:u w:val="single" w:color="000000" w:themeColor="text1"/>
        </w:rPr>
        <w:t>,</w:t>
      </w:r>
      <w:r w:rsidR="00D62605" w:rsidRPr="005F3370">
        <w:rPr>
          <w:color w:val="000000" w:themeColor="text1"/>
          <w:u w:val="single" w:color="000000" w:themeColor="text1"/>
        </w:rPr>
        <w:t xml:space="preserve"> are entitled to receive in</w:t>
      </w:r>
      <w:r w:rsidR="000D57A9">
        <w:rPr>
          <w:color w:val="000000" w:themeColor="text1"/>
          <w:u w:val="single" w:color="000000" w:themeColor="text1"/>
        </w:rPr>
        <w:noBreakHyphen/>
      </w:r>
      <w:r w:rsidR="00D62605" w:rsidRPr="005F3370">
        <w:rPr>
          <w:color w:val="000000" w:themeColor="text1"/>
          <w:u w:val="single" w:color="000000" w:themeColor="text1"/>
        </w:rPr>
        <w:t xml:space="preserve">state tuition rates at state institutions </w:t>
      </w:r>
      <w:r w:rsidR="00D62605" w:rsidRPr="005F3370">
        <w:rPr>
          <w:u w:val="single"/>
        </w:rPr>
        <w:t xml:space="preserve">provided that within two years of the date of discharge, they enroll at a state institution and </w:t>
      </w:r>
      <w:r w:rsidR="00D62605" w:rsidRPr="005F3370">
        <w:rPr>
          <w:color w:val="000000" w:themeColor="text1"/>
          <w:u w:val="single" w:color="000000" w:themeColor="text1"/>
        </w:rPr>
        <w:t>have evidenced an intent to establish domicile in South Carolina.  These in</w:t>
      </w:r>
      <w:r w:rsidR="00D62605" w:rsidRPr="00DE2231">
        <w:rPr>
          <w:color w:val="000000" w:themeColor="text1"/>
          <w:u w:val="single" w:color="000000" w:themeColor="text1"/>
        </w:rPr>
        <w:t>dividuals are eligible for in</w:t>
      </w:r>
      <w:r w:rsidR="000D57A9">
        <w:rPr>
          <w:color w:val="000000" w:themeColor="text1"/>
          <w:u w:val="single" w:color="000000" w:themeColor="text1"/>
        </w:rPr>
        <w:noBreakHyphen/>
      </w:r>
      <w:r w:rsidR="00D62605"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rsidR="00D62605">
        <w:t>”</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2605">
        <w:t>2</w:t>
      </w:r>
      <w:r>
        <w:t>.</w:t>
      </w:r>
      <w:r>
        <w:tab/>
        <w:t>This act takes effect upon approval by the Governor.</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8A3A45">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EB5A7D-13B4-4E93-9DBB-B4CC71187B6C}"/>
    <w:embedBold r:id="rId2" w:fontKey="{874A31CF-6A2E-4FEA-A4E5-915259153102}"/>
    <w:embedItalic r:id="rId3" w:fontKey="{B0D6A266-1094-4395-ACA6-E752DEC41580}"/>
  </w:font>
  <w:font w:name="Calibri">
    <w:panose1 w:val="020F0502020204030204"/>
    <w:charset w:val="00"/>
    <w:family w:val="swiss"/>
    <w:pitch w:val="variable"/>
    <w:sig w:usb0="E10002FF" w:usb1="4000ACFF" w:usb2="00000009" w:usb3="00000000" w:csb0="0000019F" w:csb1="00000000"/>
    <w:embedRegular r:id="rId4" w:fontKey="{05E504D2-33FA-4E75-824D-CEC26AB9B9B7}"/>
  </w:font>
  <w:font w:name="Cambria">
    <w:panose1 w:val="02040503050406030204"/>
    <w:charset w:val="00"/>
    <w:family w:val="roman"/>
    <w:pitch w:val="variable"/>
    <w:sig w:usb0="E00002FF" w:usb1="400004FF" w:usb2="00000000" w:usb3="00000000" w:csb0="0000019F" w:csb1="00000000"/>
    <w:embedRegular r:id="rId5" w:fontKey="{44B1E966-FF78-4377-820A-DE05DE3CA7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8A3A45">
        <w:rPr>
          <w:noProof/>
        </w:rPr>
        <w:t>3</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8A3A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82156"/>
    <w:rsid w:val="000B6983"/>
    <w:rsid w:val="000D57A9"/>
    <w:rsid w:val="000E1785"/>
    <w:rsid w:val="000F40FA"/>
    <w:rsid w:val="0010776B"/>
    <w:rsid w:val="00133E66"/>
    <w:rsid w:val="00137ACA"/>
    <w:rsid w:val="001435A3"/>
    <w:rsid w:val="001A12BB"/>
    <w:rsid w:val="001D08F2"/>
    <w:rsid w:val="001D525B"/>
    <w:rsid w:val="001D7F4F"/>
    <w:rsid w:val="002321B6"/>
    <w:rsid w:val="00250967"/>
    <w:rsid w:val="002543C8"/>
    <w:rsid w:val="00256CAA"/>
    <w:rsid w:val="00282332"/>
    <w:rsid w:val="00284AAE"/>
    <w:rsid w:val="002D3204"/>
    <w:rsid w:val="002E5912"/>
    <w:rsid w:val="00325348"/>
    <w:rsid w:val="0032732C"/>
    <w:rsid w:val="00336AD0"/>
    <w:rsid w:val="0037079A"/>
    <w:rsid w:val="003D01E8"/>
    <w:rsid w:val="003E5288"/>
    <w:rsid w:val="003F6D79"/>
    <w:rsid w:val="00413E34"/>
    <w:rsid w:val="0041760A"/>
    <w:rsid w:val="00417C01"/>
    <w:rsid w:val="004809EE"/>
    <w:rsid w:val="004E2673"/>
    <w:rsid w:val="004E7D54"/>
    <w:rsid w:val="005273C6"/>
    <w:rsid w:val="00530A69"/>
    <w:rsid w:val="00545593"/>
    <w:rsid w:val="00577C6C"/>
    <w:rsid w:val="005C2FE2"/>
    <w:rsid w:val="005C7349"/>
    <w:rsid w:val="005E2BC9"/>
    <w:rsid w:val="005F3370"/>
    <w:rsid w:val="00605102"/>
    <w:rsid w:val="006215AA"/>
    <w:rsid w:val="006913C9"/>
    <w:rsid w:val="0069470D"/>
    <w:rsid w:val="00697141"/>
    <w:rsid w:val="00734F00"/>
    <w:rsid w:val="007A70AE"/>
    <w:rsid w:val="007B7CAD"/>
    <w:rsid w:val="008362E8"/>
    <w:rsid w:val="008A1768"/>
    <w:rsid w:val="008A3A45"/>
    <w:rsid w:val="008F4429"/>
    <w:rsid w:val="0094021A"/>
    <w:rsid w:val="009854F3"/>
    <w:rsid w:val="009C6A0B"/>
    <w:rsid w:val="009F0C77"/>
    <w:rsid w:val="009F4DD1"/>
    <w:rsid w:val="00A10C59"/>
    <w:rsid w:val="00A41684"/>
    <w:rsid w:val="00A64E80"/>
    <w:rsid w:val="00A72BCD"/>
    <w:rsid w:val="00A741D9"/>
    <w:rsid w:val="00A833AB"/>
    <w:rsid w:val="00A9741D"/>
    <w:rsid w:val="00AD4B17"/>
    <w:rsid w:val="00B25976"/>
    <w:rsid w:val="00B412D4"/>
    <w:rsid w:val="00BE1D57"/>
    <w:rsid w:val="00BE3C22"/>
    <w:rsid w:val="00C0345E"/>
    <w:rsid w:val="00C3483A"/>
    <w:rsid w:val="00C74E9D"/>
    <w:rsid w:val="00C82FD3"/>
    <w:rsid w:val="00C92819"/>
    <w:rsid w:val="00CC6B7B"/>
    <w:rsid w:val="00CD2089"/>
    <w:rsid w:val="00D62605"/>
    <w:rsid w:val="00D73A67"/>
    <w:rsid w:val="00D970A9"/>
    <w:rsid w:val="00DF3845"/>
    <w:rsid w:val="00E41911"/>
    <w:rsid w:val="00E92EEF"/>
    <w:rsid w:val="00F24442"/>
    <w:rsid w:val="00F50AE3"/>
    <w:rsid w:val="00F67CF1"/>
    <w:rsid w:val="00F840F0"/>
    <w:rsid w:val="00F95B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C29D7-1822-4EF0-A101-0D299FDF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2012-12-10T17:08:00Z</cp:lastPrinted>
  <dcterms:created xsi:type="dcterms:W3CDTF">2013-03-12T14:35:00Z</dcterms:created>
  <dcterms:modified xsi:type="dcterms:W3CDTF">2013-03-12T14:35:00Z</dcterms:modified>
</cp:coreProperties>
</file>