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057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06D9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B0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7-7-10, </w:t>
      </w:r>
      <w:r w:rsidR="00392074">
        <w:rPr>
          <w:rFonts w:eastAsia="Times New Roman"/>
        </w:rPr>
        <w:t>SOUTH CAROLINA</w:t>
      </w:r>
      <w:r>
        <w:rPr>
          <w:rFonts w:eastAsia="Times New Roman"/>
        </w:rPr>
        <w:t xml:space="preserve"> CODE OF LAWS</w:t>
      </w:r>
      <w:r w:rsidR="00392074">
        <w:rPr>
          <w:rFonts w:eastAsia="Times New Roman"/>
        </w:rPr>
        <w:t xml:space="preserve">, 1976, RELATING TO THE LOCATION OF VOTING PLACES, TO </w:t>
      </w:r>
      <w:r w:rsidR="00E115EA">
        <w:rPr>
          <w:rFonts w:eastAsia="Times New Roman"/>
        </w:rPr>
        <w:t>ALLOW</w:t>
      </w:r>
      <w:r w:rsidR="00392074">
        <w:rPr>
          <w:rFonts w:eastAsia="Times New Roman"/>
        </w:rPr>
        <w:t xml:space="preserve"> THAT IF A </w:t>
      </w:r>
      <w:r w:rsidR="00E115EA">
        <w:rPr>
          <w:rFonts w:eastAsia="Times New Roman"/>
        </w:rPr>
        <w:t>COUNTY ELEC</w:t>
      </w:r>
      <w:r>
        <w:rPr>
          <w:rFonts w:eastAsia="Times New Roman"/>
        </w:rPr>
        <w:t xml:space="preserve">TION COMMISSION DETERMINES THAT A </w:t>
      </w:r>
      <w:r w:rsidR="00392074">
        <w:rPr>
          <w:rFonts w:eastAsia="Times New Roman"/>
        </w:rPr>
        <w:t xml:space="preserve">SUITABLE </w:t>
      </w:r>
      <w:r w:rsidR="00E115EA">
        <w:rPr>
          <w:rFonts w:eastAsia="Times New Roman"/>
        </w:rPr>
        <w:t>POLLING PLACE</w:t>
      </w:r>
      <w:r w:rsidR="00392074">
        <w:rPr>
          <w:rFonts w:eastAsia="Times New Roman"/>
        </w:rPr>
        <w:t xml:space="preserve"> IS UNAVAILABLE WITHIN </w:t>
      </w:r>
      <w:r w:rsidR="00E115EA">
        <w:rPr>
          <w:rFonts w:eastAsia="Times New Roman"/>
        </w:rPr>
        <w:t xml:space="preserve">A VOTING </w:t>
      </w:r>
      <w:r w:rsidR="00392074">
        <w:rPr>
          <w:rFonts w:eastAsia="Times New Roman"/>
        </w:rPr>
        <w:t xml:space="preserve">PRECINCT, THAT THE COMMISSION MAY CHOOSE A LOCATION </w:t>
      </w:r>
      <w:r w:rsidR="00E115EA">
        <w:rPr>
          <w:rFonts w:eastAsia="Times New Roman"/>
        </w:rPr>
        <w:t xml:space="preserve">OUTSIDE THE PRECINCT IF THAT LOCATION IS </w:t>
      </w:r>
      <w:r w:rsidR="00392074">
        <w:rPr>
          <w:rFonts w:eastAsia="Times New Roman"/>
        </w:rPr>
        <w:t>WITHIN THREE MILES OF THE PRECINCT</w:t>
      </w:r>
      <w:r w:rsidR="00E115EA">
        <w:rPr>
          <w:rFonts w:eastAsia="Times New Roman"/>
        </w:rPr>
        <w:t>’S BOUNDARIES</w:t>
      </w:r>
      <w:r w:rsidR="00392074">
        <w:rPr>
          <w:rFonts w:eastAsia="Times New Roman"/>
        </w:rPr>
        <w:t xml:space="preserve"> </w:t>
      </w:r>
      <w:r w:rsidR="00E115EA">
        <w:rPr>
          <w:rFonts w:eastAsia="Times New Roman"/>
        </w:rPr>
        <w:t xml:space="preserve">AND </w:t>
      </w:r>
      <w:r w:rsidR="00392074">
        <w:rPr>
          <w:rFonts w:eastAsia="Times New Roman"/>
        </w:rPr>
        <w:t>IS WITHIN THE COUNTY.</w:t>
      </w:r>
    </w:p>
    <w:p w:rsidR="00006D99" w:rsidRDefault="00006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06D99" w:rsidRDefault="00006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06D99" w:rsidRDefault="00006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6D99" w:rsidRDefault="00006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F3296">
        <w:rPr>
          <w:rFonts w:eastAsia="Times New Roman"/>
        </w:rPr>
        <w:t>Section 7-7-10 of the 1976 Code is amended to read:</w:t>
      </w:r>
    </w:p>
    <w:p w:rsidR="00BF3296" w:rsidRDefault="00BF32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115EA" w:rsidRDefault="00E115EA" w:rsidP="00E1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7-7-10.</w:t>
      </w:r>
      <w:r>
        <w:rPr>
          <w:rFonts w:eastAsia="Times New Roman"/>
        </w:rPr>
        <w:tab/>
      </w:r>
      <w:r w:rsidRPr="00454730">
        <w:rPr>
          <w:rFonts w:eastAsia="Times New Roman"/>
          <w:u w:val="single"/>
        </w:rPr>
        <w:t>(A)</w:t>
      </w:r>
      <w:r w:rsidR="000B0325">
        <w:rPr>
          <w:rFonts w:eastAsia="Times New Roman"/>
        </w:rPr>
        <w:tab/>
      </w:r>
      <w:r w:rsidRPr="0010483F">
        <w:rPr>
          <w:color w:val="000000" w:themeColor="text1"/>
          <w:u w:color="000000" w:themeColor="text1"/>
        </w:rPr>
        <w:t xml:space="preserve">For the purpose of holding any general, primary, or special election in this State, the voting precincts and voting places in the several counties of the State shall be designated, fixed, and established by the General Assembly. </w:t>
      </w:r>
    </w:p>
    <w:p w:rsidR="00E115EA" w:rsidRDefault="00E115EA" w:rsidP="00E1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54730">
        <w:rPr>
          <w:color w:val="000000" w:themeColor="text1"/>
          <w:u w:val="single" w:color="000000" w:themeColor="text1"/>
        </w:rPr>
        <w:t>(B)</w:t>
      </w:r>
      <w:r>
        <w:rPr>
          <w:color w:val="000000" w:themeColor="text1"/>
          <w:u w:color="000000" w:themeColor="text1"/>
        </w:rPr>
        <w:tab/>
      </w:r>
      <w:r w:rsidRPr="0010483F">
        <w:rPr>
          <w:color w:val="000000" w:themeColor="text1"/>
          <w:u w:color="000000" w:themeColor="text1"/>
        </w:rPr>
        <w:t xml:space="preserve">Nothing in this chapter prohibits a county election commission from establishing multiple polling places within a precinct, provided that voters are assigned to these polling places alphabetically or geographically as determined by the county election commission and approved by a majority of that county’s legislative delegation. </w:t>
      </w:r>
    </w:p>
    <w:p w:rsidR="00E115EA" w:rsidRDefault="00E115EA" w:rsidP="00E1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54730">
        <w:rPr>
          <w:color w:val="000000" w:themeColor="text1"/>
          <w:u w:val="single" w:color="000000" w:themeColor="text1"/>
        </w:rPr>
        <w:t>(C)</w:t>
      </w:r>
      <w:r>
        <w:rPr>
          <w:color w:val="000000" w:themeColor="text1"/>
          <w:u w:color="000000" w:themeColor="text1"/>
        </w:rPr>
        <w:tab/>
      </w:r>
      <w:r>
        <w:rPr>
          <w:color w:val="000000" w:themeColor="text1"/>
          <w:u w:val="single"/>
        </w:rPr>
        <w:t>If the county election commission determines that a precinct contains no suitable location for a polling place, the commission, upon approval by a majority of that county's legislative delegation, may locate the polling place inside the county and within three miles of the precinct's boundaries</w:t>
      </w:r>
      <w:r w:rsidRPr="00392074">
        <w:rPr>
          <w:color w:val="000000" w:themeColor="text1"/>
          <w:u w:val="single"/>
        </w:rPr>
        <w:t xml:space="preserve">. </w:t>
      </w:r>
      <w:r>
        <w:rPr>
          <w:color w:val="000000" w:themeColor="text1"/>
          <w:u w:color="000000" w:themeColor="text1"/>
        </w:rPr>
        <w:t xml:space="preserve"> </w:t>
      </w:r>
    </w:p>
    <w:p w:rsidR="00E115EA" w:rsidRPr="0010483F" w:rsidRDefault="00E115EA" w:rsidP="00E1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454730">
        <w:rPr>
          <w:color w:val="000000" w:themeColor="text1"/>
          <w:u w:val="single" w:color="000000" w:themeColor="text1"/>
        </w:rPr>
        <w:t>(D)</w:t>
      </w:r>
      <w:r>
        <w:rPr>
          <w:color w:val="000000" w:themeColor="text1"/>
          <w:u w:color="000000" w:themeColor="text1"/>
        </w:rPr>
        <w:tab/>
      </w:r>
      <w:r w:rsidRPr="0010483F">
        <w:rPr>
          <w:color w:val="000000" w:themeColor="text1"/>
          <w:u w:color="000000" w:themeColor="text1"/>
        </w:rPr>
        <w:t>A voter must be notified in writing of his transfer to a new polling place and the location of the new polling place.</w:t>
      </w:r>
      <w:r w:rsidR="000B0325">
        <w:rPr>
          <w:color w:val="000000" w:themeColor="text1"/>
          <w:u w:color="000000" w:themeColor="text1"/>
        </w:rPr>
        <w:t>”</w:t>
      </w:r>
      <w:r w:rsidRPr="0010483F">
        <w:rPr>
          <w:color w:val="000000" w:themeColor="text1"/>
          <w:u w:color="000000" w:themeColor="text1"/>
        </w:rPr>
        <w:t xml:space="preserve"> </w:t>
      </w:r>
    </w:p>
    <w:p w:rsidR="00006D99" w:rsidRDefault="00006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06D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92074">
        <w:rPr>
          <w:rFonts w:eastAsia="Times New Roman"/>
        </w:rPr>
        <w:t>2</w:t>
      </w:r>
      <w:r>
        <w:rPr>
          <w:rFonts w:eastAsia="Times New Roman"/>
        </w:rPr>
        <w:t>.</w:t>
      </w:r>
      <w:r>
        <w:rPr>
          <w:rFonts w:eastAsia="Times New Roman"/>
        </w:rPr>
        <w:tab/>
        <w:t>This act takes effect upon approval by the Governor.</w:t>
      </w:r>
    </w:p>
    <w:p w:rsidR="0020571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0571E" w:rsidRDefault="0020571E" w:rsidP="0020571E">
      <w:pPr>
        <w:suppressAutoHyphens/>
        <w:jc w:val="both"/>
        <w:rPr>
          <w:rFonts w:eastAsia="Times New Roman"/>
        </w:rPr>
      </w:pPr>
    </w:p>
    <w:sectPr w:rsidR="0020571E" w:rsidSect="0020571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3296" w:rsidRDefault="00BF3296" w:rsidP="00522CE0">
      <w:r>
        <w:separator/>
      </w:r>
    </w:p>
  </w:endnote>
  <w:endnote w:type="continuationSeparator" w:id="0">
    <w:p w:rsidR="00BF3296" w:rsidRDefault="00BF329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6568B0C-D18E-4429-87DE-5C538F1756E6}"/>
    <w:embedBold r:id="rId2" w:fontKey="{BF9A4A3B-F98B-4652-8AA2-9A93ED6B785E}"/>
  </w:font>
  <w:font w:name="Calibri">
    <w:panose1 w:val="020F0502020204030204"/>
    <w:charset w:val="00"/>
    <w:family w:val="swiss"/>
    <w:pitch w:val="variable"/>
    <w:sig w:usb0="E10002FF" w:usb1="4000ACFF" w:usb2="00000009" w:usb3="00000000" w:csb0="0000019F" w:csb1="00000000"/>
    <w:embedRegular r:id="rId3" w:fontKey="{4A8A6F93-ED1C-4064-970A-BC451CF18194}"/>
  </w:font>
  <w:font w:name="Cambria">
    <w:panose1 w:val="02040503050406030204"/>
    <w:charset w:val="00"/>
    <w:family w:val="roman"/>
    <w:pitch w:val="variable"/>
    <w:sig w:usb0="E00002FF" w:usb1="400004FF" w:usb2="00000000" w:usb3="00000000" w:csb0="0000019F" w:csb1="00000000"/>
    <w:embedRegular r:id="rId4" w:fontKey="{FD8252DE-ED03-4602-8B6D-5B21F43E3E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A1F" w:rsidRPr="0020571E" w:rsidRDefault="0020571E" w:rsidP="0020571E">
    <w:pPr>
      <w:pStyle w:val="Footer"/>
      <w:tabs>
        <w:tab w:val="clear" w:pos="4680"/>
        <w:tab w:val="clear" w:pos="9360"/>
        <w:tab w:val="center" w:pos="2995"/>
      </w:tabs>
      <w:spacing w:before="120"/>
    </w:pPr>
    <w:r>
      <w:t>[335]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3296" w:rsidRDefault="00BF3296" w:rsidP="00522CE0">
      <w:r>
        <w:separator/>
      </w:r>
    </w:p>
  </w:footnote>
  <w:footnote w:type="continuationSeparator" w:id="0">
    <w:p w:rsidR="00BF3296" w:rsidRDefault="00BF329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8241"/>
  </w:hdrShapeDefaults>
  <w:footnotePr>
    <w:footnote w:id="-1"/>
    <w:footnote w:id="0"/>
  </w:footnotePr>
  <w:endnotePr>
    <w:endnote w:id="-1"/>
    <w:endnote w:id="0"/>
  </w:endnotePr>
  <w:compat/>
  <w:docVars>
    <w:docVar w:name="clipname" w:val="JUD0040.REM"/>
    <w:docVar w:name="CoverAttorneyInitials" w:val="REM"/>
    <w:docVar w:name="CoverAttorneyLastName" w:val="Maldonado"/>
    <w:docVar w:name="CoverBillType" w:val="b"/>
    <w:docVar w:name="DraftFileName" w:val="JUD0040.REM.DOCX"/>
    <w:docVar w:name="DraftStenoName" w:val="Craft"/>
    <w:docVar w:name="dvBillNumber" w:val="335"/>
    <w:docVar w:name="dvBillNumberPrefix" w:val="S. "/>
    <w:docVar w:name="dvOriginalBody" w:val="Senate"/>
    <w:docVar w:name="fulldraftpath" w:val="L:\S-JUD\BILLS\Massey\JUD0040.REM.DOCX"/>
    <w:docVar w:name="NameofBody" w:val="S"/>
    <w:docVar w:name="SenatorFolderName" w:val="Massey"/>
    <w:docVar w:name="VGROUP2" w:val="S-JUD"/>
  </w:docVars>
  <w:rsids>
    <w:rsidRoot w:val="00267CAD"/>
    <w:rsid w:val="00006D99"/>
    <w:rsid w:val="000141EB"/>
    <w:rsid w:val="00042AC1"/>
    <w:rsid w:val="00046516"/>
    <w:rsid w:val="00071323"/>
    <w:rsid w:val="000A4D08"/>
    <w:rsid w:val="000A6988"/>
    <w:rsid w:val="000B0325"/>
    <w:rsid w:val="000B0720"/>
    <w:rsid w:val="000B5EAF"/>
    <w:rsid w:val="000E473B"/>
    <w:rsid w:val="000F002B"/>
    <w:rsid w:val="00107C3D"/>
    <w:rsid w:val="00126995"/>
    <w:rsid w:val="00145F1A"/>
    <w:rsid w:val="0016543B"/>
    <w:rsid w:val="00170561"/>
    <w:rsid w:val="00186AC9"/>
    <w:rsid w:val="00190F47"/>
    <w:rsid w:val="00197DF1"/>
    <w:rsid w:val="001B3DD9"/>
    <w:rsid w:val="001C23C9"/>
    <w:rsid w:val="001D3BAC"/>
    <w:rsid w:val="0020571E"/>
    <w:rsid w:val="00206D3D"/>
    <w:rsid w:val="00221A5C"/>
    <w:rsid w:val="0024519E"/>
    <w:rsid w:val="00245C4E"/>
    <w:rsid w:val="00267CAD"/>
    <w:rsid w:val="002C5896"/>
    <w:rsid w:val="00301733"/>
    <w:rsid w:val="00307C2B"/>
    <w:rsid w:val="0031409E"/>
    <w:rsid w:val="0032109A"/>
    <w:rsid w:val="00333DF1"/>
    <w:rsid w:val="0033541C"/>
    <w:rsid w:val="00364389"/>
    <w:rsid w:val="00392074"/>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0390B"/>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04A1F"/>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76056"/>
    <w:rsid w:val="00B945C5"/>
    <w:rsid w:val="00BA20EA"/>
    <w:rsid w:val="00BC0A56"/>
    <w:rsid w:val="00BF3296"/>
    <w:rsid w:val="00C23348"/>
    <w:rsid w:val="00C6454A"/>
    <w:rsid w:val="00C74052"/>
    <w:rsid w:val="00CB187A"/>
    <w:rsid w:val="00CD7C71"/>
    <w:rsid w:val="00D1088B"/>
    <w:rsid w:val="00D156D2"/>
    <w:rsid w:val="00D77EC0"/>
    <w:rsid w:val="00D86943"/>
    <w:rsid w:val="00DA47B9"/>
    <w:rsid w:val="00E115EA"/>
    <w:rsid w:val="00E66E6E"/>
    <w:rsid w:val="00E677A1"/>
    <w:rsid w:val="00E91E2F"/>
    <w:rsid w:val="00EA3546"/>
    <w:rsid w:val="00EB1AAC"/>
    <w:rsid w:val="00EB47AE"/>
    <w:rsid w:val="00EC34E1"/>
    <w:rsid w:val="00ED0AE1"/>
    <w:rsid w:val="00F0234A"/>
    <w:rsid w:val="00F52959"/>
    <w:rsid w:val="00F532D4"/>
    <w:rsid w:val="00F536D0"/>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82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244</Words>
  <Characters>1391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2013-02-06T19:54:00Z</dcterms:created>
  <dcterms:modified xsi:type="dcterms:W3CDTF">2013-02-06T19:54:00Z</dcterms:modified>
</cp:coreProperties>
</file>