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2014</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right" w:pos="5933"/>
        </w:tabs>
        <w:suppressAutoHyphens/>
      </w:pPr>
      <w:r>
        <w:tab/>
      </w:r>
      <w:r>
        <w:rPr>
          <w:b/>
          <w:sz w:val="36"/>
        </w:rPr>
        <w:t>S. 375</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BC5E2D" w:rsidP="005F155A">
      <w:pPr>
        <w:tabs>
          <w:tab w:val="right" w:pos="5933"/>
        </w:tabs>
        <w:suppressAutoHyphens/>
      </w:pPr>
      <w:r>
        <w:t>S. Printed 5/1</w:t>
      </w:r>
      <w:r w:rsidR="00EC0FB5">
        <w:t>/14--S.</w:t>
      </w:r>
      <w:r w:rsidR="005F155A">
        <w:tab/>
        <w:t>[SEC 5/2/14 1:32 PM]</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EC0FB5" w:rsidRDefault="00EC0FB5"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D22D69">
        <w:rPr>
          <w:color w:val="000000" w:themeColor="text1"/>
          <w:szCs w:val="22"/>
          <w:u w:color="000000" w:themeColor="text1"/>
        </w:rPr>
        <w:t>SECTION</w:t>
      </w:r>
      <w:r w:rsidRPr="00D22D69">
        <w:rPr>
          <w:color w:val="000000" w:themeColor="text1"/>
          <w:szCs w:val="22"/>
          <w:u w:color="000000" w:themeColor="text1"/>
        </w:rPr>
        <w:tab/>
        <w:t>1.</w:t>
      </w:r>
      <w:r w:rsidRPr="00D22D69">
        <w:rPr>
          <w:color w:val="000000" w:themeColor="text1"/>
          <w:szCs w:val="22"/>
          <w:u w:color="000000" w:themeColor="text1"/>
        </w:rPr>
        <w:tab/>
        <w:t>Title 6 of the 1976 Code is amended by adding: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“CHAPTER 38</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Dilapidated Buildings Act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w:t>
      </w:r>
      <w:r w:rsidRPr="00D22D69">
        <w:rPr>
          <w:color w:val="000000" w:themeColor="text1"/>
          <w:szCs w:val="22"/>
          <w:u w:color="000000" w:themeColor="text1"/>
        </w:rPr>
        <w:tab/>
        <w:t>For purposes of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A building, structure, condition, or property is ‘dilapidated’ if it is not in substantial compliance with one or more municipal ordinances regarding:</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_GoBack"/>
      <w:r w:rsidRPr="00AF5CDF">
        <w:rPr>
          <w:snapToGrid w:val="0"/>
        </w:rPr>
        <w:tab/>
      </w:r>
      <w:r w:rsidRPr="00AF5CDF">
        <w:rPr>
          <w:u w:color="000000" w:themeColor="text1"/>
        </w:rPr>
        <w:tab/>
        <w:t>(a)</w:t>
      </w:r>
      <w:r w:rsidRPr="00AF5CDF">
        <w:rPr>
          <w:u w:color="000000" w:themeColor="text1"/>
        </w:rPr>
        <w:tab/>
        <w:t>prevention of substantial risk of injury to a person;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Pr>
          <w:strike/>
          <w:color w:val="000000" w:themeColor="text1"/>
          <w:szCs w:val="22"/>
          <w:u w:color="000000" w:themeColor="text1"/>
        </w:rPr>
      </w:pPr>
      <w:r w:rsidRPr="00AF5CDF">
        <w:rPr>
          <w:u w:color="000000" w:themeColor="text1"/>
        </w:rPr>
        <w:lastRenderedPageBreak/>
        <w:tab/>
      </w:r>
      <w:r w:rsidRPr="00AF5CDF">
        <w:rPr>
          <w:u w:color="000000" w:themeColor="text1"/>
        </w:rPr>
        <w:tab/>
        <w:t>(b)</w:t>
      </w:r>
      <w:r w:rsidRPr="00AF5CDF">
        <w:rPr>
          <w:u w:color="000000" w:themeColor="text1"/>
        </w:rPr>
        <w:tab/>
        <w:t>condition of the property constituting an imminent danger to the public health or safety.</w:t>
      </w:r>
      <w:r w:rsidRPr="00AF5CDF">
        <w:rPr>
          <w:u w:color="000000" w:themeColor="text1"/>
        </w:rPr>
        <w:tab/>
      </w:r>
    </w:p>
    <w:bookmarkEnd w:id="4"/>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‘Imminent danger’ means a condition that could cause serious or life</w:t>
      </w:r>
      <w:r w:rsidRPr="00D22D69">
        <w:rPr>
          <w:color w:val="000000" w:themeColor="text1"/>
          <w:szCs w:val="22"/>
          <w:u w:color="000000" w:themeColor="text1"/>
        </w:rPr>
        <w:noBreakHyphen/>
        <w:t>threatening injury or death at any time.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‘Owner of record’ means a person who is the owner of property according to the most recently approved county tax roll.</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‘Unsafe structures’ means buildings that are found to be dangerous to the life, health, property, or safety of the public or the occupants.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6-38-20.</w:t>
      </w:r>
      <w:r w:rsidRPr="00D22D69">
        <w:rPr>
          <w:color w:val="000000" w:themeColor="text1"/>
          <w:szCs w:val="22"/>
          <w:u w:color="000000" w:themeColor="text1"/>
        </w:rPr>
        <w:tab/>
        <w:t>(A)</w:t>
      </w:r>
      <w:r w:rsidRPr="00D22D69">
        <w:rPr>
          <w:color w:val="000000" w:themeColor="text1"/>
          <w:szCs w:val="22"/>
          <w:u w:color="000000" w:themeColor="text1"/>
        </w:rPr>
        <w:tab/>
        <w:t xml:space="preserve">The rules of equity govern an action under this chapter unless inconsistent with this chapter or general law.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 xml:space="preserve">In applying this legislation, the court shall operate with the presumption that private property should not have a receiver and, therefore, given this presumption: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w:t>
      </w:r>
      <w:r w:rsidRPr="00AF5CDF">
        <w:rPr>
          <w:u w:color="000000" w:themeColor="text1"/>
        </w:rPr>
        <w:t xml:space="preserve"> health or safety;</w:t>
      </w:r>
      <w:r>
        <w:rPr>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all feasible efforts will be made to protect and preserve the property rights of existing property owners and lien holders of record;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order appointing a receiver shall recite specifically what evidence permits the court to exercise its extraordinary authority pursuant to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In applying this legislation, a court is explicitly authorized to exercise its inherent equitable discretion and, in so doing, take into account reasonable steps that might be taken, such as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avoiding judicial actions immediately after a state or national disaster, such as a hurricane, so as to give owners or lien holders additional time to respond, to make repairs, or to otherwise </w:t>
      </w:r>
      <w:r w:rsidRPr="00D22D69">
        <w:rPr>
          <w:color w:val="000000" w:themeColor="text1"/>
          <w:szCs w:val="22"/>
          <w:u w:color="000000" w:themeColor="text1"/>
        </w:rPr>
        <w:lastRenderedPageBreak/>
        <w:t>maintain the status quo in light of such highly unusual exceptional situations;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phasing in necessary repairs that are most appropriate for the situation and direct incremental repairs to portions of a building where necessary to preserve public safety or to ameliorate imminent danger.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30.</w:t>
      </w:r>
      <w:r w:rsidRPr="00D22D69">
        <w:rPr>
          <w:color w:val="000000" w:themeColor="text1"/>
          <w:szCs w:val="22"/>
          <w:u w:color="000000" w:themeColor="text1"/>
        </w:rPr>
        <w:tab/>
        <w:t>Before filing an action under this chapter, the municipality must have: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developed and followed its locally adopted procedures to deal with the abatement of unsafe structures by measures up to, but not including, demolition pursuant to authority granted to municipalities in Sections 31</w:t>
      </w:r>
      <w:r w:rsidRPr="00D22D69">
        <w:rPr>
          <w:color w:val="000000" w:themeColor="text1"/>
          <w:szCs w:val="22"/>
          <w:u w:color="000000" w:themeColor="text1"/>
        </w:rPr>
        <w:noBreakHyphen/>
        <w:t>15</w:t>
      </w:r>
      <w:r w:rsidRPr="00D22D69">
        <w:rPr>
          <w:color w:val="000000" w:themeColor="text1"/>
          <w:szCs w:val="22"/>
          <w:u w:color="000000" w:themeColor="text1"/>
        </w:rPr>
        <w:noBreakHyphen/>
        <w:t>20 and 5</w:t>
      </w:r>
      <w:r w:rsidRPr="00D22D69">
        <w:rPr>
          <w:color w:val="000000" w:themeColor="text1"/>
          <w:szCs w:val="22"/>
          <w:u w:color="000000" w:themeColor="text1"/>
        </w:rPr>
        <w:noBreakHyphen/>
        <w:t>7</w:t>
      </w:r>
      <w:r w:rsidRPr="00D22D69">
        <w:rPr>
          <w:color w:val="000000" w:themeColor="text1"/>
          <w:szCs w:val="22"/>
          <w:u w:color="000000" w:themeColor="text1"/>
        </w:rPr>
        <w:noBreakHyphen/>
        <w:t xml:space="preserve">80;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by resolution of the governing body declared the property or structure unsafe for human occupancy;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 xml:space="preserve">given written notice by certified mail </w:t>
      </w:r>
      <w:r w:rsidRPr="00D22D69">
        <w:rPr>
          <w:szCs w:val="22"/>
          <w:u w:color="000000" w:themeColor="text1"/>
        </w:rPr>
        <w:t xml:space="preserve">to the owner of record and all lien holders </w:t>
      </w:r>
      <w:r w:rsidRPr="00D22D69">
        <w:rPr>
          <w:color w:val="000000" w:themeColor="text1"/>
          <w:szCs w:val="22"/>
          <w:u w:color="000000" w:themeColor="text1"/>
        </w:rPr>
        <w:t xml:space="preserve">of: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an ordinance violation,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reasons the municipality believes there is a serious, present, and imminent public health harm or safety hazard, alleged to exist on the property.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 xml:space="preserve">The notice required in subsection (4) must be served </w:t>
      </w:r>
      <w:r w:rsidRPr="00D22D69">
        <w:rPr>
          <w:color w:val="000000" w:themeColor="text1"/>
          <w:szCs w:val="22"/>
        </w:rPr>
        <w:t xml:space="preserve">in accordance to the rules of South Carolina Civil Procedure and by </w:t>
      </w:r>
      <w:r w:rsidRPr="00D22D69">
        <w:rPr>
          <w:color w:val="000000" w:themeColor="text1"/>
          <w:szCs w:val="22"/>
          <w:u w:color="000000" w:themeColor="text1"/>
        </w:rPr>
        <w:t>posting of the property in accordance with Section 6-29-760</w:t>
      </w:r>
      <w:r w:rsidRPr="00D22D69">
        <w:rPr>
          <w:color w:val="000000" w:themeColor="text1"/>
          <w:szCs w:val="22"/>
        </w:rPr>
        <w:t>.</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40.</w:t>
      </w:r>
      <w:r w:rsidRPr="00D22D69">
        <w:rPr>
          <w:color w:val="000000" w:themeColor="text1"/>
          <w:szCs w:val="22"/>
          <w:u w:color="000000" w:themeColor="text1"/>
        </w:rPr>
        <w:tab/>
        <w:t>(A)</w:t>
      </w:r>
      <w:r w:rsidRPr="00D22D69">
        <w:rPr>
          <w:color w:val="000000" w:themeColor="text1"/>
          <w:szCs w:val="22"/>
          <w:u w:color="000000" w:themeColor="text1"/>
        </w:rPr>
        <w:tab/>
        <w:t xml:space="preserve">After at least sixty days have passed since the notice required by Section 6-38-30(4), a municipality may bring an action against an owner of </w:t>
      </w:r>
      <w:r w:rsidRPr="00D22D69">
        <w:rPr>
          <w:szCs w:val="22"/>
          <w:u w:color="000000" w:themeColor="text1"/>
        </w:rPr>
        <w:t>record and name any lien holder of record</w:t>
      </w:r>
      <w:r w:rsidRPr="00D22D69">
        <w:rPr>
          <w:color w:val="000000" w:themeColor="text1"/>
          <w:szCs w:val="22"/>
          <w:u w:color="000000" w:themeColor="text1"/>
        </w:rPr>
        <w: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Before granting such authorization, at least seven days notice must be served: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to the physical address of the property, with one copy addressed to the owner and one copy addressed to ‘</w:t>
      </w:r>
      <w:r w:rsidR="00F241C0">
        <w:rPr>
          <w:color w:val="000000" w:themeColor="text1"/>
          <w:szCs w:val="22"/>
          <w:u w:color="000000" w:themeColor="text1"/>
        </w:rPr>
        <w:t>o</w:t>
      </w:r>
      <w:r w:rsidRPr="00D22D69">
        <w:rPr>
          <w:color w:val="000000" w:themeColor="text1"/>
          <w:szCs w:val="22"/>
          <w:u w:color="000000" w:themeColor="text1"/>
        </w:rPr>
        <w:t xml:space="preserve">ccupant,’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to the best available address in accordance with Section 12-51-40(a), </w:t>
      </w:r>
      <w:r w:rsidRPr="00D22D69">
        <w:rPr>
          <w:szCs w:val="22"/>
          <w:u w:color="000000" w:themeColor="text1"/>
        </w:rPr>
        <w:t>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szCs w:val="22"/>
          <w:u w:color="000000" w:themeColor="text1"/>
        </w:rPr>
        <w:tab/>
      </w:r>
      <w:r w:rsidRPr="00D22D69">
        <w:rPr>
          <w:szCs w:val="22"/>
          <w:u w:color="000000" w:themeColor="text1"/>
        </w:rPr>
        <w:tab/>
      </w:r>
      <w:r w:rsidRPr="00D22D69">
        <w:rPr>
          <w:szCs w:val="22"/>
          <w:u w:color="000000" w:themeColor="text1"/>
        </w:rPr>
        <w:tab/>
        <w:t>(c)</w:t>
      </w:r>
      <w:r w:rsidRPr="00D22D69">
        <w:rPr>
          <w:szCs w:val="22"/>
          <w:u w:color="000000" w:themeColor="text1"/>
        </w:rPr>
        <w:tab/>
        <w:t>to any lien holder of record.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Limitations may be imposed on the authorization in terms of the time and manner of entry and assessment.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6-38-50.</w:t>
      </w:r>
      <w:r w:rsidRPr="00D22D69">
        <w:rPr>
          <w:color w:val="000000" w:themeColor="text1"/>
          <w:szCs w:val="22"/>
          <w:u w:color="000000" w:themeColor="text1"/>
        </w:rPr>
        <w:tab/>
        <w:t>(A)</w:t>
      </w:r>
      <w:r w:rsidRPr="00D22D69">
        <w:rPr>
          <w:color w:val="000000" w:themeColor="text1"/>
          <w:szCs w:val="22"/>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D22D69">
        <w:rPr>
          <w:color w:val="000000" w:themeColor="text1"/>
          <w:szCs w:val="22"/>
        </w:rPr>
        <w:t>the South Carolina Rules of Civil Procedure</w:t>
      </w:r>
      <w:r w:rsidRPr="00D22D69">
        <w:rPr>
          <w:color w:val="000000" w:themeColor="text1"/>
          <w:szCs w:val="22"/>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Within seven days of filing an action, a municipality bringing action pursuant to this chapter shall file a notice of lis pendens to provide constructive notice of the pending action.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6-38-60.</w:t>
      </w:r>
      <w:r w:rsidRPr="00D22D69">
        <w:rPr>
          <w:color w:val="000000" w:themeColor="text1"/>
          <w:szCs w:val="22"/>
          <w:u w:color="000000" w:themeColor="text1"/>
        </w:rPr>
        <w:tab/>
        <w:t>An owner of record, lien holder of record, or other person with a recorded property interest in a property that is the subject of an action under this chapter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intervene in the action;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request appointment as a receiver pursuant to this chapter if the lien holder or other person with a recorded property interest demonstrates to the court an ability and willingness to repair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6-38-70.</w:t>
      </w:r>
      <w:r w:rsidRPr="00D22D69">
        <w:rPr>
          <w:color w:val="000000" w:themeColor="text1"/>
          <w:szCs w:val="22"/>
          <w:u w:color="000000" w:themeColor="text1"/>
        </w:rPr>
        <w:tab/>
        <w:t>The following may serve as a court</w:t>
      </w:r>
      <w:r w:rsidRPr="00D22D69">
        <w:rPr>
          <w:color w:val="000000" w:themeColor="text1"/>
          <w:szCs w:val="22"/>
          <w:u w:color="000000" w:themeColor="text1"/>
        </w:rPr>
        <w:noBreakHyphen/>
        <w:t>appointed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an entity </w:t>
      </w:r>
      <w:r w:rsidRPr="00D22D69">
        <w:rPr>
          <w:color w:val="000000" w:themeColor="text1"/>
          <w:szCs w:val="22"/>
        </w:rPr>
        <w:t xml:space="preserve">not including a municipality that the court determines has </w:t>
      </w:r>
      <w:r w:rsidRPr="00D22D69">
        <w:rPr>
          <w:color w:val="000000" w:themeColor="text1"/>
          <w:szCs w:val="22"/>
          <w:u w:color="000000" w:themeColor="text1"/>
        </w:rPr>
        <w:t>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an individual the court determines to have 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(3)</w:t>
      </w:r>
      <w:r w:rsidRPr="00D22D69">
        <w:rPr>
          <w:color w:val="000000" w:themeColor="text1"/>
          <w:szCs w:val="22"/>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a licensed and bonded contractor in the State of South Carolina;</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a lien holder requesting appointment pursuant to Section 6-38-60;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an owner of record requesting appointment pursuant to Section 6-38-60.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6-38-80.</w:t>
      </w:r>
      <w:r w:rsidRPr="00D22D69">
        <w:rPr>
          <w:color w:val="000000" w:themeColor="text1"/>
          <w:szCs w:val="22"/>
          <w:u w:color="000000" w:themeColor="text1"/>
        </w:rPr>
        <w:tab/>
        <w:t>(A)</w:t>
      </w:r>
      <w:r w:rsidRPr="00D22D69">
        <w:rPr>
          <w:color w:val="000000" w:themeColor="text1"/>
          <w:szCs w:val="22"/>
          <w:u w:color="000000" w:themeColor="text1"/>
        </w:rPr>
        <w:tab/>
        <w:t>The court may appoint a receiver for the property for a term:</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 to exceed two years;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for a time determined appropriate by the court based on the nature of the work to be done.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structures on the property are in substantial violation of one or more ordinances of the municipality pursuant to 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w:t>
      </w:r>
      <w:r w:rsidRPr="00D22D69">
        <w:rPr>
          <w:szCs w:val="22"/>
          <w:u w:color="000000" w:themeColor="text1"/>
        </w:rPr>
        <w:t>0</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property is not an owner</w:t>
      </w:r>
      <w:r w:rsidRPr="00D22D69">
        <w:rPr>
          <w:color w:val="000000" w:themeColor="text1"/>
          <w:szCs w:val="22"/>
          <w:u w:color="000000" w:themeColor="text1"/>
        </w:rPr>
        <w:noBreakHyphen/>
        <w:t>occupied, single</w:t>
      </w:r>
      <w:r w:rsidRPr="00D22D69">
        <w:rPr>
          <w:color w:val="000000" w:themeColor="text1"/>
          <w:szCs w:val="22"/>
          <w:u w:color="000000" w:themeColor="text1"/>
        </w:rPr>
        <w:noBreakHyphen/>
        <w:t>family residence;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property does not have one to four family residences where at least one unit is owner occupied;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the property is not currently in a probate, foreclosure, or bankruptcy proceeding.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90.</w:t>
      </w:r>
      <w:r w:rsidRPr="00D22D69">
        <w:rPr>
          <w:color w:val="000000" w:themeColor="text1"/>
          <w:szCs w:val="22"/>
          <w:u w:color="000000" w:themeColor="text1"/>
        </w:rPr>
        <w:tab/>
        <w:t xml:space="preserve">Subject to control of the court </w:t>
      </w:r>
      <w:r w:rsidRPr="00D22D69">
        <w:rPr>
          <w:szCs w:val="22"/>
          <w:u w:color="000000" w:themeColor="text1"/>
        </w:rPr>
        <w:t>and the rights of any prior lien holder of record,</w:t>
      </w:r>
      <w:r w:rsidRPr="00D22D69">
        <w:rPr>
          <w:color w:val="FF0000"/>
          <w:szCs w:val="22"/>
          <w:u w:color="000000" w:themeColor="text1"/>
        </w:rPr>
        <w:t xml:space="preserve"> </w:t>
      </w:r>
      <w:r w:rsidRPr="00D22D69">
        <w:rPr>
          <w:color w:val="000000" w:themeColor="text1"/>
          <w:szCs w:val="22"/>
          <w:u w:color="000000" w:themeColor="text1"/>
        </w:rPr>
        <w:t>a court</w:t>
      </w:r>
      <w:r w:rsidRPr="00D22D69">
        <w:rPr>
          <w:color w:val="000000" w:themeColor="text1"/>
          <w:szCs w:val="22"/>
          <w:u w:color="000000" w:themeColor="text1"/>
        </w:rPr>
        <w:noBreakHyphen/>
        <w:t>appointed receiver has all powers necessary and customary to the powers of a receiver under the laws of equity and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take possession and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operate and manage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establish and collect rents and income on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lease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make repairs necessary to bring the property into compliance with local codes, ordinances, and state laws, including: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performing and entering into contracts for the performance of work and the furnishing of materials for repairs;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entering into loan and grant agreements for repairs to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 xml:space="preserve">pay expenses, including paying for utilities and paying </w:t>
      </w:r>
      <w:r w:rsidRPr="00D22D69">
        <w:rPr>
          <w:szCs w:val="22"/>
          <w:u w:color="000000" w:themeColor="text1"/>
        </w:rPr>
        <w:t>current taxes, taxes in arrears and current assessments and assessments in arrears,</w:t>
      </w:r>
      <w:r w:rsidRPr="00D22D69">
        <w:rPr>
          <w:color w:val="000000" w:themeColor="text1"/>
          <w:szCs w:val="22"/>
          <w:u w:color="000000" w:themeColor="text1"/>
        </w:rPr>
        <w:t xml:space="preserve"> insurance premiums, and reasonable compensation to a property management agent;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(7)</w:t>
      </w:r>
      <w:r w:rsidRPr="00D22D69">
        <w:rPr>
          <w:color w:val="000000" w:themeColor="text1"/>
          <w:szCs w:val="22"/>
          <w:u w:color="000000" w:themeColor="text1"/>
        </w:rPr>
        <w:tab/>
        <w:t>enter into contracts for operating and maintaining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(8)</w:t>
      </w:r>
      <w:r w:rsidRPr="00D22D69">
        <w:rPr>
          <w:color w:val="000000" w:themeColor="text1"/>
          <w:szCs w:val="22"/>
          <w:u w:color="000000" w:themeColor="text1"/>
        </w:rPr>
        <w:tab/>
        <w:t>exercise all other authority of an owner of the property other than the authority to sell the property; and</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22D69">
        <w:rPr>
          <w:color w:val="000000" w:themeColor="text1"/>
          <w:szCs w:val="22"/>
          <w:u w:color="000000" w:themeColor="text1"/>
        </w:rPr>
        <w:tab/>
      </w:r>
      <w:r w:rsidRPr="00D22D69">
        <w:rPr>
          <w:color w:val="000000" w:themeColor="text1"/>
          <w:szCs w:val="22"/>
          <w:u w:color="000000" w:themeColor="text1"/>
        </w:rPr>
        <w:tab/>
        <w:t>(9)</w:t>
      </w:r>
      <w:r w:rsidRPr="00D22D69">
        <w:rPr>
          <w:color w:val="000000" w:themeColor="text1"/>
          <w:szCs w:val="22"/>
          <w:u w:color="000000" w:themeColor="text1"/>
        </w:rPr>
        <w:tab/>
        <w:t xml:space="preserve">perform other acts regarding the property as authorized </w:t>
      </w:r>
      <w:r w:rsidRPr="00AF5CDF">
        <w:rPr>
          <w:u w:color="000000" w:themeColor="text1"/>
        </w:rPr>
        <w:t>by the court.</w:t>
      </w:r>
    </w:p>
    <w:p w:rsidR="00BC5E2D"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F5CDF">
        <w:rPr>
          <w:u w:color="000000" w:themeColor="text1"/>
        </w:rPr>
        <w:tab/>
        <w:t>Section 6</w:t>
      </w:r>
      <w:r w:rsidRPr="00AF5CDF">
        <w:rPr>
          <w:u w:color="000000" w:themeColor="text1"/>
        </w:rPr>
        <w:noBreakHyphen/>
        <w:t>38</w:t>
      </w:r>
      <w:r w:rsidRPr="00AF5CDF">
        <w:rPr>
          <w:u w:color="000000" w:themeColor="text1"/>
        </w:rPr>
        <w:noBreakHyphen/>
        <w:t>95.</w:t>
      </w:r>
      <w:r w:rsidRPr="00AF5CDF">
        <w:rPr>
          <w:u w:color="000000" w:themeColor="text1"/>
        </w:rPr>
        <w:tab/>
        <w:t>(A)</w:t>
      </w:r>
      <w:r w:rsidRPr="00AF5CDF">
        <w:rPr>
          <w:u w:color="000000" w:themeColor="text1"/>
        </w:rPr>
        <w:tab/>
        <w:t>In exercising the powers pursuant to Section 6</w:t>
      </w:r>
      <w:r w:rsidRPr="00AF5CDF">
        <w:rPr>
          <w:u w:color="000000" w:themeColor="text1"/>
        </w:rPr>
        <w:noBreakHyphen/>
        <w:t>38</w:t>
      </w:r>
      <w:r w:rsidRPr="00AF5CDF">
        <w:rPr>
          <w:u w:color="000000" w:themeColor="text1"/>
        </w:rPr>
        <w:noBreakHyphen/>
        <w:t>90, and in submitting the reports required by Section 6-38-100,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F5CDF">
        <w:rPr>
          <w:u w:color="000000" w:themeColor="text1"/>
        </w:rPr>
        <w:tab/>
        <w:t>(B)</w:t>
      </w:r>
      <w:r w:rsidRPr="00AF5CDF">
        <w:rPr>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100.</w:t>
      </w:r>
      <w:r w:rsidRPr="00D22D69">
        <w:rPr>
          <w:color w:val="000000" w:themeColor="text1"/>
          <w:szCs w:val="22"/>
          <w:u w:color="000000" w:themeColor="text1"/>
        </w:rPr>
        <w:tab/>
        <w:t>(A)</w:t>
      </w:r>
      <w:r w:rsidRPr="00D22D69">
        <w:rPr>
          <w:color w:val="000000" w:themeColor="text1"/>
          <w:szCs w:val="22"/>
          <w:u w:color="000000" w:themeColor="text1"/>
        </w:rPr>
        <w:tab/>
        <w:t>Before beginning any work the receiver must submit to the court for its approval a detailed report describing the problems associated with the property and a detailed plan for abating the problems.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This report must be accompanied by a performance bond or performance bond binder as well as a detailed timeline for completion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w:t>
      </w:r>
      <w:r w:rsidRPr="00D22D69">
        <w:rPr>
          <w:szCs w:val="22"/>
          <w:u w:color="000000" w:themeColor="text1"/>
        </w:rPr>
        <w:t>receiver</w:t>
      </w:r>
      <w:r w:rsidRPr="00D22D69">
        <w:rPr>
          <w:color w:val="FF0000"/>
          <w:szCs w:val="22"/>
          <w:u w:color="000000" w:themeColor="text1"/>
        </w:rPr>
        <w:t xml:space="preserve"> </w:t>
      </w:r>
      <w:r w:rsidRPr="00D22D69">
        <w:rPr>
          <w:color w:val="000000" w:themeColor="text1"/>
          <w:szCs w:val="22"/>
          <w:u w:color="000000" w:themeColor="text1"/>
        </w:rPr>
        <w:t>shall provide a copy of the report and estimate to the owner of record, lien holders, and others with a recorded property interest.</w:t>
      </w: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receiver shall submit progress reports every forty</w:t>
      </w:r>
      <w:r w:rsidRPr="00D22D69">
        <w:rPr>
          <w:color w:val="000000" w:themeColor="text1"/>
          <w:szCs w:val="22"/>
          <w:u w:color="000000" w:themeColor="text1"/>
        </w:rPr>
        <w:noBreakHyphen/>
        <w:t xml:space="preserve">five days or as the court determines to demonstrate compliance with the </w:t>
      </w:r>
      <w:r w:rsidRPr="00D22D69">
        <w:rPr>
          <w:color w:val="000000" w:themeColor="text1"/>
          <w:szCs w:val="22"/>
          <w:u w:color="000000" w:themeColor="text1"/>
        </w:rPr>
        <w:lastRenderedPageBreak/>
        <w:t>time schedules established for commencement and performance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6-38-110.</w:t>
      </w:r>
      <w:r w:rsidRPr="00D22D69">
        <w:rPr>
          <w:color w:val="000000" w:themeColor="text1"/>
          <w:szCs w:val="22"/>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D22D69">
        <w:rPr>
          <w:color w:val="000000" w:themeColor="text1"/>
          <w:szCs w:val="22"/>
          <w:u w:color="000000" w:themeColor="text1"/>
        </w:rPr>
        <w:noBreakHyphen/>
        <w:t>38</w:t>
      </w:r>
      <w:r w:rsidRPr="00D22D69">
        <w:rPr>
          <w:color w:val="000000" w:themeColor="text1"/>
          <w:szCs w:val="22"/>
          <w:u w:color="000000" w:themeColor="text1"/>
        </w:rPr>
        <w:noBreakHyphen/>
        <w:t>140 and 6</w:t>
      </w:r>
      <w:r w:rsidRPr="00D22D69">
        <w:rPr>
          <w:color w:val="000000" w:themeColor="text1"/>
          <w:szCs w:val="22"/>
          <w:u w:color="000000" w:themeColor="text1"/>
        </w:rPr>
        <w:noBreakHyphen/>
        <w:t>38</w:t>
      </w:r>
      <w:r w:rsidRPr="00D22D69">
        <w:rPr>
          <w:color w:val="000000" w:themeColor="text1"/>
          <w:szCs w:val="22"/>
          <w:u w:color="000000" w:themeColor="text1"/>
        </w:rPr>
        <w:noBreakHyphen/>
        <w:t>150.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6-38-120.</w:t>
      </w:r>
      <w:r w:rsidRPr="00D22D69">
        <w:rPr>
          <w:color w:val="000000" w:themeColor="text1"/>
          <w:szCs w:val="22"/>
          <w:u w:color="000000" w:themeColor="text1"/>
        </w:rPr>
        <w:tab/>
        <w:t>(A)</w:t>
      </w:r>
      <w:r w:rsidRPr="00D22D69">
        <w:rPr>
          <w:color w:val="000000" w:themeColor="text1"/>
          <w:szCs w:val="22"/>
          <w:u w:color="000000" w:themeColor="text1"/>
        </w:rPr>
        <w:tab/>
        <w:t>If a loss occurs to the property entrusted to the receiver as a result of the receiver’s negligence, the receiver shall be liable for economic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If the loss occurs as a result of fraudulent execution of trust, the receiver shall be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6-38-130.</w:t>
      </w:r>
      <w:r w:rsidRPr="00D22D69">
        <w:rPr>
          <w:color w:val="000000" w:themeColor="text1"/>
          <w:szCs w:val="22"/>
          <w:u w:color="000000" w:themeColor="text1"/>
        </w:rPr>
        <w:tab/>
        <w:t>(A)</w:t>
      </w:r>
      <w:r w:rsidRPr="00D22D69">
        <w:rPr>
          <w:color w:val="000000" w:themeColor="text1"/>
          <w:szCs w:val="22"/>
          <w:u w:color="000000" w:themeColor="text1"/>
        </w:rPr>
        <w:tab/>
        <w:t>A receiver appointed pursuant to this chapter may demolish a structure only after a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Prior to the hearing, the receiver must prepare a detailed report which establishes: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it is not economically feasible to bring the structure into compliance with local codes, local ordinances, and state laws;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is unfit for human habitation;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is a hazard to public health or safety.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At the hearing, the court shall determine whether demolition is appropriate. In making this determination, the court shall consider: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whether any owner, lien holder, or other person with a recorded interest has appeared to explain to the court’s satisfaction why the property has been left in its current state,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the structure constitutes a danger to the public even though secured from entry; or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the means used to secure the structure are inadequate to prevent unauthorized entry or use of 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6-38-140.</w:t>
      </w:r>
      <w:r w:rsidRPr="00D22D69">
        <w:rPr>
          <w:color w:val="000000" w:themeColor="text1"/>
          <w:szCs w:val="22"/>
          <w:u w:color="000000" w:themeColor="text1"/>
        </w:rPr>
        <w:tab/>
        <w:t>A receiver who completes repairs to a structure or demolishes a structure, upon or before petitioning a court for termination of the receivership, shall file with the court a full accounting of: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all costs and expenses incurred in the repairs or demolition, including reasonable costs for labor and supervision;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all income received from the property;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at the discretion of the court, a receivership fee not to exceed ten percent of the costs and the expenses in subsection (1).</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6-38-150.</w:t>
      </w:r>
      <w:r w:rsidRPr="00D22D69">
        <w:rPr>
          <w:color w:val="000000" w:themeColor="text1"/>
          <w:szCs w:val="22"/>
          <w:u w:color="000000" w:themeColor="text1"/>
        </w:rPr>
        <w:tab/>
        <w:t>(A)</w:t>
      </w:r>
      <w:r w:rsidRPr="00D22D69">
        <w:rPr>
          <w:color w:val="000000" w:themeColor="text1"/>
          <w:szCs w:val="22"/>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the work has been successfully completed;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may order the sale of the property at public auction if the court finds that: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notice as required by subsection (A) was given to each owner of record, lien holder, and holder of a recorded property interest;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receiver’s costs and fees are reasonable based 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nature, extent, and difficulty of the services rendered;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time and labor devoted to the case;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(c)</w:t>
      </w:r>
      <w:r w:rsidRPr="00D22D69">
        <w:rPr>
          <w:color w:val="000000" w:themeColor="text1"/>
          <w:szCs w:val="22"/>
          <w:u w:color="000000" w:themeColor="text1"/>
        </w:rPr>
        <w:tab/>
        <w:t>professional standing of the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(d)</w:t>
      </w:r>
      <w:r w:rsidRPr="00D22D69">
        <w:rPr>
          <w:color w:val="000000" w:themeColor="text1"/>
          <w:szCs w:val="22"/>
          <w:u w:color="000000" w:themeColor="text1"/>
        </w:rPr>
        <w:tab/>
        <w:t>contingency of compensation;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(e)</w:t>
      </w:r>
      <w:r w:rsidRPr="00D22D69">
        <w:rPr>
          <w:color w:val="000000" w:themeColor="text1"/>
          <w:szCs w:val="22"/>
          <w:u w:color="000000" w:themeColor="text1"/>
        </w:rPr>
        <w:tab/>
        <w:t>fee customarily charged in the locality for similar services;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(f)</w:t>
      </w:r>
      <w:r w:rsidRPr="00D22D69">
        <w:rPr>
          <w:color w:val="000000" w:themeColor="text1"/>
          <w:szCs w:val="22"/>
          <w:u w:color="000000" w:themeColor="text1"/>
        </w:rPr>
        <w:tab/>
        <w:t>beneficial results obtained;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receiver has been in control of the property and the owner has failed to repay all the receiver’s outstanding costs and expenses of rehabilitation plus a reasonable receivership fee;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If the revenue from the sale exceeds the total of the costs and expenses listed in Section 6-38-160(A), any net overage belongs to the owner pursuant to Section 6-38-160(B).</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(E)</w:t>
      </w:r>
      <w:r w:rsidRPr="00D22D69">
        <w:rPr>
          <w:color w:val="000000" w:themeColor="text1"/>
          <w:szCs w:val="22"/>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6-38-160.</w:t>
      </w:r>
      <w:r w:rsidRPr="00D22D69">
        <w:rPr>
          <w:color w:val="000000" w:themeColor="text1"/>
          <w:szCs w:val="22"/>
          <w:u w:color="000000" w:themeColor="text1"/>
        </w:rPr>
        <w:tab/>
        <w:t>(A)</w:t>
      </w:r>
      <w:r w:rsidRPr="00D22D69">
        <w:rPr>
          <w:color w:val="000000" w:themeColor="text1"/>
          <w:szCs w:val="22"/>
          <w:u w:color="000000" w:themeColor="text1"/>
        </w:rPr>
        <w:tab/>
        <w:t>The court shall confirm a sale under this chapter and order a distribution of the proceeds of the sale in the following order: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court costs;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costs and expenses, plus a reasonable receivership fee, and any lien held by the receiver;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other valid liens.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005F155A">
        <w:rPr>
          <w:color w:val="000000" w:themeColor="text1"/>
          <w:szCs w:val="22"/>
          <w:u w:color="000000" w:themeColor="text1"/>
        </w:rPr>
        <w:t>3</w:t>
      </w:r>
      <w:r w:rsidRPr="00D22D69">
        <w:rPr>
          <w:color w:val="000000" w:themeColor="text1"/>
          <w:szCs w:val="22"/>
          <w:u w:color="000000" w:themeColor="text1"/>
        </w:rPr>
        <w:t>8-170.</w:t>
      </w:r>
      <w:r w:rsidRPr="00D22D69">
        <w:rPr>
          <w:color w:val="000000" w:themeColor="text1"/>
          <w:szCs w:val="22"/>
          <w:u w:color="000000" w:themeColor="text1"/>
        </w:rPr>
        <w:tab/>
        <w:t>(A)</w:t>
      </w:r>
      <w:r w:rsidRPr="00D22D69">
        <w:rPr>
          <w:color w:val="000000" w:themeColor="text1"/>
          <w:szCs w:val="22"/>
          <w:u w:color="000000" w:themeColor="text1"/>
        </w:rPr>
        <w:tab/>
        <w:t xml:space="preserve">The court shall award fee title to the purchaser after the proceeds are distributed.  If proceeds from the sale are insufficient to pay all liens, claims, and encumbrances on </w:t>
      </w:r>
      <w:r w:rsidRPr="00D22D69">
        <w:rPr>
          <w:color w:val="000000" w:themeColor="text1"/>
          <w:szCs w:val="22"/>
          <w:u w:color="000000" w:themeColor="text1"/>
        </w:rPr>
        <w:lastRenderedPageBreak/>
        <w:t>the property, the court shall extinguish all unpaid liens, claims, and encumbrances on the property and award title to the purchaser free and clear.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This chapter does not foreclose any right or remedy that may be available under other state law or the laws of equity.”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22D69">
        <w:rPr>
          <w:color w:val="000000" w:themeColor="text1"/>
          <w:szCs w:val="22"/>
          <w:u w:color="000000" w:themeColor="text1"/>
        </w:rPr>
        <w:t>SECTION</w:t>
      </w:r>
      <w:r w:rsidRPr="00D22D69">
        <w:rPr>
          <w:color w:val="000000" w:themeColor="text1"/>
          <w:szCs w:val="22"/>
          <w:u w:color="000000" w:themeColor="text1"/>
        </w:rPr>
        <w:tab/>
        <w:t>2.</w:t>
      </w:r>
      <w:r w:rsidRPr="00D22D69">
        <w:rPr>
          <w:color w:val="000000" w:themeColor="text1"/>
          <w:szCs w:val="22"/>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1C7709">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BFEDDA-5B22-48DD-AF96-71F87D183A01}"/>
    <w:embedBold r:id="rId2" w:fontKey="{7A831B49-C632-487C-A128-700D0E50DEA8}"/>
  </w:font>
  <w:font w:name="Calibri">
    <w:panose1 w:val="020F0502020204030204"/>
    <w:charset w:val="00"/>
    <w:family w:val="swiss"/>
    <w:pitch w:val="variable"/>
    <w:sig w:usb0="E10002FF" w:usb1="4000ACFF" w:usb2="00000009" w:usb3="00000000" w:csb0="0000019F" w:csb1="00000000"/>
    <w:embedRegular r:id="rId3" w:fontKey="{4310DA52-3685-46A9-9A59-D6495E60B312}"/>
  </w:font>
  <w:font w:name="Tahoma">
    <w:panose1 w:val="020B0604030504040204"/>
    <w:charset w:val="00"/>
    <w:family w:val="swiss"/>
    <w:pitch w:val="variable"/>
    <w:sig w:usb0="21002A87" w:usb1="80000000" w:usb2="00000008" w:usb3="00000000" w:csb0="000101FF" w:csb1="00000000"/>
    <w:embedRegular r:id="rId4" w:fontKey="{AB406887-7E16-4957-9C01-ADEB7F074F8A}"/>
  </w:font>
  <w:font w:name="Cambria">
    <w:panose1 w:val="02040503050406030204"/>
    <w:charset w:val="00"/>
    <w:family w:val="roman"/>
    <w:pitch w:val="variable"/>
    <w:sig w:usb0="E00002FF" w:usb1="400004FF" w:usb2="00000000" w:usb3="00000000" w:csb0="0000019F" w:csb1="00000000"/>
    <w:embedRegular r:id="rId5" w:fontKey="{CC46F9EB-2CEA-4F3A-93A1-AE2DF90B86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1C7709">
        <w:rPr>
          <w:noProof/>
        </w:rPr>
        <w:t>1</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1C77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4A62"/>
    <w:rsid w:val="001A681E"/>
    <w:rsid w:val="001C7709"/>
    <w:rsid w:val="001D08F2"/>
    <w:rsid w:val="002037CA"/>
    <w:rsid w:val="002047A2"/>
    <w:rsid w:val="002321B6"/>
    <w:rsid w:val="0023696B"/>
    <w:rsid w:val="00250967"/>
    <w:rsid w:val="00267BC7"/>
    <w:rsid w:val="002759C5"/>
    <w:rsid w:val="00277DEE"/>
    <w:rsid w:val="00280D88"/>
    <w:rsid w:val="00290DF2"/>
    <w:rsid w:val="00294ABE"/>
    <w:rsid w:val="002A3EB4"/>
    <w:rsid w:val="00325348"/>
    <w:rsid w:val="003338BB"/>
    <w:rsid w:val="00352E08"/>
    <w:rsid w:val="003606B6"/>
    <w:rsid w:val="00386819"/>
    <w:rsid w:val="00386DBD"/>
    <w:rsid w:val="00393688"/>
    <w:rsid w:val="003D411E"/>
    <w:rsid w:val="003E3C1E"/>
    <w:rsid w:val="003E6148"/>
    <w:rsid w:val="00400EAA"/>
    <w:rsid w:val="0041760A"/>
    <w:rsid w:val="004809EE"/>
    <w:rsid w:val="00511EE9"/>
    <w:rsid w:val="00521E00"/>
    <w:rsid w:val="00577C6C"/>
    <w:rsid w:val="0058501B"/>
    <w:rsid w:val="005D1DB9"/>
    <w:rsid w:val="005F155A"/>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53C04"/>
    <w:rsid w:val="00756946"/>
    <w:rsid w:val="00757F80"/>
    <w:rsid w:val="00771EEC"/>
    <w:rsid w:val="007847C4"/>
    <w:rsid w:val="00786819"/>
    <w:rsid w:val="007A325A"/>
    <w:rsid w:val="007D019B"/>
    <w:rsid w:val="007D7312"/>
    <w:rsid w:val="007F1523"/>
    <w:rsid w:val="007F509E"/>
    <w:rsid w:val="007F5799"/>
    <w:rsid w:val="007F6947"/>
    <w:rsid w:val="007F7E5F"/>
    <w:rsid w:val="00813B96"/>
    <w:rsid w:val="00860D4B"/>
    <w:rsid w:val="00872729"/>
    <w:rsid w:val="008F4429"/>
    <w:rsid w:val="00900A6E"/>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C5E2D"/>
    <w:rsid w:val="00BD2134"/>
    <w:rsid w:val="00BF5D1E"/>
    <w:rsid w:val="00C038D8"/>
    <w:rsid w:val="00C045DD"/>
    <w:rsid w:val="00C3136F"/>
    <w:rsid w:val="00C3483A"/>
    <w:rsid w:val="00C36FE9"/>
    <w:rsid w:val="00C51A91"/>
    <w:rsid w:val="00C74E9D"/>
    <w:rsid w:val="00C82FD3"/>
    <w:rsid w:val="00CC6B4B"/>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4DA"/>
    <w:rsid w:val="00EC0FB5"/>
    <w:rsid w:val="00EE2862"/>
    <w:rsid w:val="00EE3A49"/>
    <w:rsid w:val="00EF3EEE"/>
    <w:rsid w:val="00EF4B59"/>
    <w:rsid w:val="00F00266"/>
    <w:rsid w:val="00F149A7"/>
    <w:rsid w:val="00F241C0"/>
    <w:rsid w:val="00F46102"/>
    <w:rsid w:val="00F50BAF"/>
    <w:rsid w:val="00F52C10"/>
    <w:rsid w:val="00F81FFD"/>
    <w:rsid w:val="00F85228"/>
    <w:rsid w:val="00FA1FFF"/>
    <w:rsid w:val="00FB6773"/>
    <w:rsid w:val="00FD3965"/>
    <w:rsid w:val="00FD7C01"/>
    <w:rsid w:val="00FE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8036D-E863-4487-B8E8-F3419EE7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2921</Words>
  <Characters>16652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2014-05-01T17:44:00Z</cp:lastPrinted>
  <dcterms:created xsi:type="dcterms:W3CDTF">2014-05-02T17:32:00Z</dcterms:created>
  <dcterms:modified xsi:type="dcterms:W3CDTF">2014-05-02T17:32:00Z</dcterms:modified>
</cp:coreProperties>
</file>