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D46BE">
        <w:rPr>
          <w:color w:val="000000" w:themeColor="text1"/>
          <w:u w:color="000000" w:themeColor="text1"/>
        </w:rPr>
        <w:t>TO AMEND SECTION 12</w:t>
      </w:r>
      <w:r w:rsidR="00FC3785">
        <w:rPr>
          <w:color w:val="000000" w:themeColor="text1"/>
          <w:u w:color="000000" w:themeColor="text1"/>
        </w:rPr>
        <w:noBreakHyphen/>
      </w:r>
      <w:r w:rsidRPr="002D46BE">
        <w:rPr>
          <w:color w:val="000000" w:themeColor="text1"/>
          <w:u w:color="000000" w:themeColor="text1"/>
        </w:rPr>
        <w:t>43</w:t>
      </w:r>
      <w:r w:rsidR="00FC3785">
        <w:rPr>
          <w:color w:val="000000" w:themeColor="text1"/>
          <w:u w:color="000000" w:themeColor="text1"/>
        </w:rPr>
        <w:noBreakHyphen/>
      </w:r>
      <w:r w:rsidRPr="002D46BE">
        <w:rPr>
          <w:color w:val="000000" w:themeColor="text1"/>
          <w:u w:color="000000" w:themeColor="text1"/>
        </w:rPr>
        <w:t xml:space="preserve">220, AS AMENDED, CODE OF LAWS OF SOUTH CAROLINA, 1976, SO AS TO ENACT </w:t>
      </w:r>
      <w:r w:rsidR="001A70D0">
        <w:rPr>
          <w:color w:val="000000" w:themeColor="text1"/>
          <w:u w:color="000000" w:themeColor="text1"/>
        </w:rPr>
        <w:t>“</w:t>
      </w:r>
      <w:r w:rsidRPr="002D46BE">
        <w:rPr>
          <w:color w:val="000000" w:themeColor="text1"/>
          <w:u w:color="000000" w:themeColor="text1"/>
        </w:rPr>
        <w:t>UNCLE PRESTON</w:t>
      </w:r>
      <w:r w:rsidR="00FC3785" w:rsidRPr="00FC3785">
        <w:rPr>
          <w:color w:val="000000" w:themeColor="text1"/>
          <w:u w:color="000000" w:themeColor="text1"/>
        </w:rPr>
        <w:t>’</w:t>
      </w:r>
      <w:r w:rsidRPr="002D46BE">
        <w:rPr>
          <w:color w:val="000000" w:themeColor="text1"/>
          <w:u w:color="000000" w:themeColor="text1"/>
        </w:rPr>
        <w:t>S LAW</w:t>
      </w:r>
      <w:r w:rsidR="001A70D0">
        <w:rPr>
          <w:color w:val="000000" w:themeColor="text1"/>
          <w:u w:color="000000" w:themeColor="text1"/>
        </w:rPr>
        <w:t>”</w:t>
      </w:r>
      <w:r w:rsidRPr="002D46BE">
        <w:rPr>
          <w:color w:val="000000" w:themeColor="text1"/>
          <w:u w:color="000000" w:themeColor="text1"/>
        </w:rPr>
        <w:t xml:space="preserve"> TO ALLOW A TAXPAYER TO CLAIM THE FOUR PERCENT ASSESSMENT RATIO ON A RESIDENTIAL PROPERTY OTHER THAN THEIR LEGAL RESIDENCE IF THE ADDITIONAL RESIDENCE IS USED AS A RESIDENCE BY A FAMILY MEMBER WHO IS OVER THE AGE OF SIXTY</w:t>
      </w:r>
      <w:r w:rsidR="00FC3785">
        <w:rPr>
          <w:color w:val="000000" w:themeColor="text1"/>
          <w:u w:color="000000" w:themeColor="text1"/>
        </w:rPr>
        <w:noBreakHyphen/>
      </w:r>
      <w:r w:rsidRPr="002D46BE">
        <w:rPr>
          <w:color w:val="000000" w:themeColor="text1"/>
          <w:u w:color="000000" w:themeColor="text1"/>
        </w:rPr>
        <w:t>FIVE.</w:t>
      </w:r>
    </w:p>
    <w:p w:rsidR="00BB13AF" w:rsidRDefault="00BB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13AF" w:rsidRDefault="00BB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1.</w:t>
      </w:r>
      <w:r w:rsidRPr="002D46BE">
        <w:rPr>
          <w:color w:val="000000" w:themeColor="text1"/>
          <w:u w:color="000000" w:themeColor="text1"/>
        </w:rPr>
        <w:tab/>
        <w:t xml:space="preserve">This act may be cited as </w:t>
      </w:r>
      <w:r w:rsidR="001A70D0">
        <w:rPr>
          <w:color w:val="000000" w:themeColor="text1"/>
          <w:u w:color="000000" w:themeColor="text1"/>
        </w:rPr>
        <w:t>“U</w:t>
      </w:r>
      <w:r w:rsidRPr="002D46BE">
        <w:rPr>
          <w:color w:val="000000" w:themeColor="text1"/>
          <w:u w:color="000000" w:themeColor="text1"/>
        </w:rPr>
        <w:t>ncle Preston</w:t>
      </w:r>
      <w:r w:rsidR="00FC3785" w:rsidRPr="00FC3785">
        <w:rPr>
          <w:color w:val="000000" w:themeColor="text1"/>
          <w:u w:color="000000" w:themeColor="text1"/>
        </w:rPr>
        <w:t>’</w:t>
      </w:r>
      <w:r w:rsidRPr="002D46BE">
        <w:rPr>
          <w:color w:val="000000" w:themeColor="text1"/>
          <w:u w:color="000000" w:themeColor="text1"/>
        </w:rPr>
        <w:t>s Law</w:t>
      </w:r>
      <w:r w:rsidR="001A70D0">
        <w:rPr>
          <w:color w:val="000000" w:themeColor="text1"/>
          <w:u w:color="000000" w:themeColor="text1"/>
        </w:rPr>
        <w:t>”</w:t>
      </w:r>
      <w:r w:rsidRPr="002D46BE">
        <w:rPr>
          <w:color w:val="000000" w:themeColor="text1"/>
          <w:u w:color="000000" w:themeColor="text1"/>
        </w:rPr>
        <w:t>.</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2.</w:t>
      </w:r>
      <w:r w:rsidRPr="002D46BE">
        <w:rPr>
          <w:color w:val="000000" w:themeColor="text1"/>
          <w:u w:color="000000" w:themeColor="text1"/>
        </w:rPr>
        <w:tab/>
        <w:t>Section 12</w:t>
      </w:r>
      <w:r w:rsidR="00FC3785">
        <w:rPr>
          <w:color w:val="000000" w:themeColor="text1"/>
          <w:u w:color="000000" w:themeColor="text1"/>
        </w:rPr>
        <w:noBreakHyphen/>
      </w:r>
      <w:r w:rsidRPr="002D46BE">
        <w:rPr>
          <w:color w:val="000000" w:themeColor="text1"/>
          <w:u w:color="000000" w:themeColor="text1"/>
        </w:rPr>
        <w:t>43</w:t>
      </w:r>
      <w:r w:rsidR="00FC3785">
        <w:rPr>
          <w:color w:val="000000" w:themeColor="text1"/>
          <w:u w:color="000000" w:themeColor="text1"/>
        </w:rPr>
        <w:noBreakHyphen/>
      </w:r>
      <w:r w:rsidRPr="002D46BE">
        <w:rPr>
          <w:color w:val="000000" w:themeColor="text1"/>
          <w:u w:color="000000" w:themeColor="text1"/>
        </w:rPr>
        <w:t>220(c) of the 1976 Code, as last amended by Act 179 of 2012, is further amended by adding an appropriately numbered subitem at the end to read:</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t>“(  )(i)</w:t>
      </w:r>
      <w:r w:rsidRPr="002D46BE">
        <w:rPr>
          <w:color w:val="000000" w:themeColor="text1"/>
          <w:u w:color="000000" w:themeColor="text1"/>
        </w:rPr>
        <w:tab/>
        <w:t>Notwithstanding any other provision of law, a taxpayer meeting all the other requirements of this subsection may claim the four percent assessment ratio on a residential property other than their legal residence if the additional residence is used as a residence by a family member who is over the age of sixty</w:t>
      </w:r>
      <w:r w:rsidR="00FC3785">
        <w:rPr>
          <w:color w:val="000000" w:themeColor="text1"/>
          <w:u w:color="000000" w:themeColor="text1"/>
        </w:rPr>
        <w:noBreakHyphen/>
      </w:r>
      <w:r w:rsidRPr="002D46BE">
        <w:rPr>
          <w:color w:val="000000" w:themeColor="text1"/>
          <w:u w:color="000000" w:themeColor="text1"/>
        </w:rPr>
        <w:t xml:space="preserve">five.  This subitem does not apply if the family member pays rent.  For purposes of this subitem, </w:t>
      </w:r>
      <w:r w:rsidR="00FC3785" w:rsidRPr="00FC3785">
        <w:rPr>
          <w:color w:val="000000" w:themeColor="text1"/>
          <w:u w:color="000000" w:themeColor="text1"/>
        </w:rPr>
        <w:t>‘</w:t>
      </w:r>
      <w:r w:rsidRPr="002D46BE">
        <w:rPr>
          <w:color w:val="000000" w:themeColor="text1"/>
          <w:u w:color="000000" w:themeColor="text1"/>
        </w:rPr>
        <w:t>family member</w:t>
      </w:r>
      <w:r w:rsidR="00FC3785" w:rsidRPr="00FC3785">
        <w:rPr>
          <w:color w:val="000000" w:themeColor="text1"/>
          <w:u w:color="000000" w:themeColor="text1"/>
        </w:rPr>
        <w:t>’</w:t>
      </w:r>
      <w:r w:rsidRPr="002D46BE">
        <w:rPr>
          <w:color w:val="000000" w:themeColor="text1"/>
          <w:u w:color="000000" w:themeColor="text1"/>
        </w:rPr>
        <w:t xml:space="preserve"> means a parent, sibling, child, aunt, uncle, mother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father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son</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daughter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brother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sister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grandparent, or grandchild.</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2D46BE">
        <w:rPr>
          <w:color w:val="000000" w:themeColor="text1"/>
          <w:u w:color="000000" w:themeColor="text1"/>
        </w:rPr>
        <w:tab/>
        <w:t>(ii)</w:t>
      </w:r>
      <w:r w:rsidRPr="002D46BE">
        <w:rPr>
          <w:color w:val="000000" w:themeColor="text1"/>
          <w:u w:color="000000" w:themeColor="text1"/>
        </w:rPr>
        <w:tab/>
        <w:t>This subitem does not apply unless the owner of the properties or the owner</w:t>
      </w:r>
      <w:r w:rsidR="00FC3785" w:rsidRPr="00FC3785">
        <w:rPr>
          <w:color w:val="000000" w:themeColor="text1"/>
          <w:u w:color="000000" w:themeColor="text1"/>
        </w:rPr>
        <w:t>’</w:t>
      </w:r>
      <w:r w:rsidRPr="002D46BE">
        <w:rPr>
          <w:color w:val="000000" w:themeColor="text1"/>
          <w:u w:color="000000" w:themeColor="text1"/>
        </w:rPr>
        <w:t xml:space="preserve">s agent applies for the four percent assessment ratio on both residences before the first penalty date for the payment of taxes for the tax year for which the owner first </w:t>
      </w:r>
      <w:r w:rsidRPr="002D46BE">
        <w:rPr>
          <w:color w:val="000000" w:themeColor="text1"/>
          <w:u w:color="000000" w:themeColor="text1"/>
        </w:rPr>
        <w:lastRenderedPageBreak/>
        <w:t>claims eligibility for this assessment ratio.  The burden of proof for eligibility for the four percent assessment ratio on both residences is on the taxpayer.  The taxpayer must provide the proof the assessor requires, including, but not limited to, a copy of the owner</w:t>
      </w:r>
      <w:r w:rsidR="00FC3785" w:rsidRPr="00FC3785">
        <w:rPr>
          <w:color w:val="000000" w:themeColor="text1"/>
          <w:u w:color="000000" w:themeColor="text1"/>
        </w:rPr>
        <w:t>’</w:t>
      </w:r>
      <w:r w:rsidRPr="002D46BE">
        <w:rPr>
          <w:color w:val="000000" w:themeColor="text1"/>
          <w:u w:color="000000" w:themeColor="text1"/>
        </w:rPr>
        <w:t>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subitem.</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2D46BE">
        <w:rPr>
          <w:color w:val="000000" w:themeColor="text1"/>
          <w:u w:color="000000" w:themeColor="text1"/>
        </w:rPr>
        <w:tab/>
        <w:t>(iii)</w:t>
      </w:r>
      <w:r w:rsidRPr="002D46BE">
        <w:rPr>
          <w:color w:val="000000" w:themeColor="text1"/>
          <w:u w:color="000000" w:themeColor="text1"/>
        </w:rPr>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473A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3.</w:t>
      </w:r>
      <w:r w:rsidRPr="002D46BE">
        <w:rPr>
          <w:color w:val="000000" w:themeColor="text1"/>
          <w:u w:color="000000" w:themeColor="text1"/>
        </w:rPr>
        <w:tab/>
        <w:t>This act takes effect upon approval by the Governor and applies for property tax years beginning after 2013</w:t>
      </w:r>
      <w:r w:rsidR="00BB13AF">
        <w:t>.</w:t>
      </w:r>
    </w:p>
    <w:p w:rsidR="008B15A4" w:rsidRDefault="00FC3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5A4" w:rsidRDefault="008B15A4" w:rsidP="008B15A4">
      <w:pPr>
        <w:suppressAutoHyphens/>
      </w:pPr>
    </w:p>
    <w:sectPr w:rsidR="008B15A4" w:rsidSect="008B15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3AF" w:rsidRDefault="00BB13AF" w:rsidP="009F0C77">
      <w:r>
        <w:separator/>
      </w:r>
    </w:p>
  </w:endnote>
  <w:endnote w:type="continuationSeparator" w:id="0">
    <w:p w:rsidR="00BB13AF" w:rsidRDefault="00BB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DDFC07-023D-4956-8379-6B82DFF0207C}"/>
    <w:embedBold r:id="rId2" w:fontKey="{0D2EF60C-4D6D-4F43-AE3A-F267B2F98130}"/>
  </w:font>
  <w:font w:name="Calibri">
    <w:panose1 w:val="020F0502020204030204"/>
    <w:charset w:val="00"/>
    <w:family w:val="swiss"/>
    <w:pitch w:val="variable"/>
    <w:sig w:usb0="E10002FF" w:usb1="4000ACFF" w:usb2="00000009" w:usb3="00000000" w:csb0="0000019F" w:csb1="00000000"/>
    <w:embedRegular r:id="rId3" w:fontKey="{E082F801-F05D-45DC-A12D-442F93D495BB}"/>
  </w:font>
  <w:font w:name="Cambria">
    <w:panose1 w:val="02040503050406030204"/>
    <w:charset w:val="00"/>
    <w:family w:val="roman"/>
    <w:pitch w:val="variable"/>
    <w:sig w:usb0="E00002FF" w:usb1="400004FF" w:usb2="00000000" w:usb3="00000000" w:csb0="0000019F" w:csb1="00000000"/>
    <w:embedRegular r:id="rId4" w:fontKey="{77B138DF-5B43-47F9-8325-8014A6B2A2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C2" w:rsidRPr="008B15A4" w:rsidRDefault="008B15A4" w:rsidP="008B15A4">
    <w:pPr>
      <w:pStyle w:val="Footer"/>
      <w:tabs>
        <w:tab w:val="clear" w:pos="4680"/>
        <w:tab w:val="clear" w:pos="9360"/>
        <w:tab w:val="center" w:pos="2995"/>
      </w:tabs>
      <w:spacing w:before="120"/>
    </w:pPr>
    <w:r>
      <w:t>[4520]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3AF" w:rsidRDefault="00BB13AF" w:rsidP="009F0C77">
      <w:r>
        <w:separator/>
      </w:r>
    </w:p>
  </w:footnote>
  <w:footnote w:type="continuationSeparator" w:id="0">
    <w:p w:rsidR="00BB13AF" w:rsidRDefault="00BB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9DG14"/>
    <w:docVar w:name="CoverBillType" w:val="b"/>
    <w:docVar w:name="docpath" w:val="L:\Council\bills\BH\26059DG14.DOCX"/>
    <w:docVar w:name="dvBillNumber" w:val="4520"/>
    <w:docVar w:name="dvBillNumberPrefix" w:val="H. "/>
    <w:docVar w:name="dvOriginalBody" w:val="House"/>
    <w:docVar w:name="dvSteno" w:val="BH"/>
    <w:docVar w:name="NameofBody" w:val="h"/>
    <w:docVar w:name="vgroup2" w:val="Council"/>
  </w:docVars>
  <w:rsids>
    <w:rsidRoot w:val="003D40F4"/>
    <w:rsid w:val="00011869"/>
    <w:rsid w:val="000E1785"/>
    <w:rsid w:val="000F40FA"/>
    <w:rsid w:val="0010776B"/>
    <w:rsid w:val="00133E66"/>
    <w:rsid w:val="001435A3"/>
    <w:rsid w:val="001A70D0"/>
    <w:rsid w:val="001D08F2"/>
    <w:rsid w:val="001D525B"/>
    <w:rsid w:val="001D7F4F"/>
    <w:rsid w:val="002321B6"/>
    <w:rsid w:val="00250967"/>
    <w:rsid w:val="002543C8"/>
    <w:rsid w:val="00284AAE"/>
    <w:rsid w:val="00286392"/>
    <w:rsid w:val="002E5912"/>
    <w:rsid w:val="00301B21"/>
    <w:rsid w:val="00325348"/>
    <w:rsid w:val="0032732C"/>
    <w:rsid w:val="00336AD0"/>
    <w:rsid w:val="0035210D"/>
    <w:rsid w:val="0037079A"/>
    <w:rsid w:val="003D01E8"/>
    <w:rsid w:val="003D40F4"/>
    <w:rsid w:val="003E5288"/>
    <w:rsid w:val="003F6D79"/>
    <w:rsid w:val="0041760A"/>
    <w:rsid w:val="00417C01"/>
    <w:rsid w:val="00473ABE"/>
    <w:rsid w:val="004809EE"/>
    <w:rsid w:val="004E7D54"/>
    <w:rsid w:val="005273C6"/>
    <w:rsid w:val="00530A69"/>
    <w:rsid w:val="00545593"/>
    <w:rsid w:val="00577C6C"/>
    <w:rsid w:val="005A4FC2"/>
    <w:rsid w:val="005C2FE2"/>
    <w:rsid w:val="005E2BC9"/>
    <w:rsid w:val="00605102"/>
    <w:rsid w:val="006215AA"/>
    <w:rsid w:val="006913C9"/>
    <w:rsid w:val="0069470D"/>
    <w:rsid w:val="00734F00"/>
    <w:rsid w:val="007A70AE"/>
    <w:rsid w:val="008362E8"/>
    <w:rsid w:val="008A1768"/>
    <w:rsid w:val="008B15A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13AF"/>
    <w:rsid w:val="00BE3C22"/>
    <w:rsid w:val="00C0345E"/>
    <w:rsid w:val="00C3483A"/>
    <w:rsid w:val="00C74E9D"/>
    <w:rsid w:val="00C82FD3"/>
    <w:rsid w:val="00C92819"/>
    <w:rsid w:val="00CC6B7B"/>
    <w:rsid w:val="00CD2089"/>
    <w:rsid w:val="00D73A67"/>
    <w:rsid w:val="00D970A9"/>
    <w:rsid w:val="00DF3845"/>
    <w:rsid w:val="00E41911"/>
    <w:rsid w:val="00E57D7F"/>
    <w:rsid w:val="00E92EEF"/>
    <w:rsid w:val="00F24442"/>
    <w:rsid w:val="00F50AE3"/>
    <w:rsid w:val="00F67CF1"/>
    <w:rsid w:val="00F840F0"/>
    <w:rsid w:val="00FB0D0D"/>
    <w:rsid w:val="00FB43B4"/>
    <w:rsid w:val="00FC3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4ABE6-734E-4D9B-9036-B3E36E605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2168</Characters>
  <Application>Microsoft Office Word</Application>
  <DocSecurity>0</DocSecurity>
  <Lines>18</Lines>
  <Paragraphs>5</Paragraphs>
  <ScaleCrop>false</ScaleCrop>
  <Company>LPITS</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2014-01-17T14:27:00Z</cp:lastPrinted>
  <dcterms:created xsi:type="dcterms:W3CDTF">2014-01-21T17:42:00Z</dcterms:created>
  <dcterms:modified xsi:type="dcterms:W3CDTF">2014-01-21T17:42:00Z</dcterms:modified>
</cp:coreProperties>
</file>