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06F" w:rsidRDefault="00E3006F" w:rsidP="001D7F4F">
      <w:pPr>
        <w:pStyle w:val="BillDots"/>
      </w:pPr>
      <w:r>
        <w:t>COMMITTEE REPORT</w:t>
      </w:r>
    </w:p>
    <w:p w:rsidR="00E3006F" w:rsidRDefault="00E3006F" w:rsidP="001D7F4F">
      <w:pPr>
        <w:pStyle w:val="BillDots"/>
      </w:pPr>
      <w:r>
        <w:t>February 5, 2014</w:t>
      </w:r>
    </w:p>
    <w:p w:rsidR="00E3006F" w:rsidRDefault="00E3006F" w:rsidP="001D7F4F">
      <w:pPr>
        <w:pStyle w:val="BillDots"/>
      </w:pPr>
    </w:p>
    <w:p w:rsidR="00E3006F" w:rsidRPr="00E3006F" w:rsidRDefault="00E3006F" w:rsidP="00E3006F">
      <w:pPr>
        <w:pStyle w:val="BillDots"/>
        <w:tabs>
          <w:tab w:val="clear" w:pos="216"/>
          <w:tab w:val="clear" w:pos="432"/>
          <w:tab w:val="clear" w:pos="648"/>
          <w:tab w:val="clear" w:pos="864"/>
          <w:tab w:val="clear" w:pos="1080"/>
          <w:tab w:val="clear" w:pos="1296"/>
          <w:tab w:val="clear" w:pos="5904"/>
          <w:tab w:val="right" w:pos="5933"/>
        </w:tabs>
      </w:pPr>
      <w:r>
        <w:tab/>
      </w:r>
      <w:r>
        <w:rPr>
          <w:b/>
          <w:sz w:val="36"/>
        </w:rPr>
        <w:t>H. 4559</w:t>
      </w:r>
    </w:p>
    <w:p w:rsidR="00E3006F" w:rsidRDefault="00E3006F" w:rsidP="001D7F4F">
      <w:pPr>
        <w:pStyle w:val="BillDots"/>
      </w:pPr>
    </w:p>
    <w:p w:rsidR="00E3006F" w:rsidRDefault="00E3006F" w:rsidP="001D7F4F">
      <w:pPr>
        <w:pStyle w:val="BillDots"/>
      </w:pPr>
      <w:r>
        <w:t xml:space="preserve">Introduced by </w:t>
      </w:r>
      <w:r w:rsidRPr="00B91655">
        <w:t>Reps. McCoy, Merrill, Erickson, Stavrinakis, Daning, Crosby, Rivers, Patrick, Sottile, Whipper, Newton, Gilliard, Mack, Murphy, Limehouse, R.L. Brown, Harrell and Horne</w:t>
      </w:r>
    </w:p>
    <w:p w:rsidR="00E3006F" w:rsidRDefault="00E3006F" w:rsidP="001D7F4F">
      <w:pPr>
        <w:pStyle w:val="BillDots"/>
      </w:pPr>
    </w:p>
    <w:p w:rsidR="00E3006F" w:rsidRDefault="00E3006F" w:rsidP="001D7F4F">
      <w:pPr>
        <w:pStyle w:val="BillDots"/>
      </w:pPr>
      <w:r>
        <w:t>S. Printed 2/5/14--H.</w:t>
      </w:r>
    </w:p>
    <w:p w:rsidR="00E3006F" w:rsidRDefault="00E3006F" w:rsidP="001D7F4F">
      <w:pPr>
        <w:pStyle w:val="BillDots"/>
      </w:pPr>
      <w:r>
        <w:t>Read the first time January 23, 2014.</w:t>
      </w:r>
    </w:p>
    <w:p w:rsidR="00E3006F" w:rsidRPr="00E3006F" w:rsidRDefault="00E3006F" w:rsidP="00E3006F">
      <w:pPr>
        <w:pStyle w:val="BillDots"/>
        <w:jc w:val="center"/>
      </w:pPr>
      <w:r>
        <w:rPr>
          <w:u w:val="single"/>
        </w:rPr>
        <w:t>            </w:t>
      </w:r>
    </w:p>
    <w:p w:rsidR="00E3006F" w:rsidRDefault="00E3006F" w:rsidP="001D7F4F">
      <w:pPr>
        <w:pStyle w:val="BillDots"/>
      </w:pPr>
    </w:p>
    <w:p w:rsidR="00E3006F" w:rsidRDefault="00E3006F" w:rsidP="00E3006F">
      <w:pPr>
        <w:pStyle w:val="BillDots"/>
        <w:jc w:val="center"/>
        <w:rPr>
          <w:b/>
        </w:rPr>
      </w:pPr>
      <w:r>
        <w:rPr>
          <w:b/>
        </w:rPr>
        <w:t>THE COMMITTEE ON</w:t>
      </w:r>
    </w:p>
    <w:p w:rsidR="00E3006F" w:rsidRPr="00E3006F" w:rsidRDefault="00E3006F" w:rsidP="00E3006F">
      <w:pPr>
        <w:pStyle w:val="BillDots"/>
        <w:jc w:val="center"/>
      </w:pPr>
      <w:r>
        <w:rPr>
          <w:b/>
        </w:rPr>
        <w:t>INVITATIONS AND MEMORIAL RESOLUTIONS</w:t>
      </w:r>
    </w:p>
    <w:p w:rsidR="00E3006F" w:rsidRDefault="00E3006F" w:rsidP="001D7F4F">
      <w:pPr>
        <w:pStyle w:val="BillDots"/>
      </w:pPr>
      <w:r>
        <w:tab/>
        <w:t xml:space="preserve">To whom was referred a Concurrent Resolution (H. 4559) </w:t>
      </w:r>
      <w:r w:rsidRPr="00E3006F">
        <w:rPr>
          <w:color w:val="000000" w:themeColor="text1"/>
          <w:u w:color="000000" w:themeColor="text1"/>
        </w:rPr>
        <w:t>to memorialize the Congress of the United States to en</w:t>
      </w:r>
      <w:r w:rsidR="000766CB">
        <w:rPr>
          <w:color w:val="000000" w:themeColor="text1"/>
          <w:u w:color="000000" w:themeColor="text1"/>
        </w:rPr>
        <w:t>a</w:t>
      </w:r>
      <w:r w:rsidRPr="00E3006F">
        <w:rPr>
          <w:color w:val="000000" w:themeColor="text1"/>
          <w:u w:color="000000" w:themeColor="text1"/>
        </w:rPr>
        <w:t>ct Senate bill S.1846, the Homeowner Flood Insurance Affordability Act of 2013,  in order to delay flood insurance rate increases</w:t>
      </w:r>
      <w:r>
        <w:t>, etc., respectfully</w:t>
      </w:r>
    </w:p>
    <w:p w:rsidR="00E3006F" w:rsidRPr="00E3006F" w:rsidRDefault="00E3006F" w:rsidP="00E3006F">
      <w:pPr>
        <w:pStyle w:val="BillDots"/>
        <w:jc w:val="center"/>
      </w:pPr>
      <w:r>
        <w:rPr>
          <w:b/>
        </w:rPr>
        <w:t>REPORT:</w:t>
      </w:r>
    </w:p>
    <w:p w:rsidR="00E3006F" w:rsidRDefault="00E3006F" w:rsidP="001D7F4F">
      <w:pPr>
        <w:pStyle w:val="BillDots"/>
      </w:pPr>
      <w:r>
        <w:tab/>
        <w:t>That they have duly and carefully considered the same and recommend that the same do pass:</w:t>
      </w:r>
    </w:p>
    <w:p w:rsidR="00E3006F" w:rsidRDefault="00E3006F" w:rsidP="001D7F4F">
      <w:pPr>
        <w:pStyle w:val="BillDots"/>
      </w:pPr>
    </w:p>
    <w:p w:rsidR="00E3006F" w:rsidRDefault="00E3006F" w:rsidP="001D7F4F">
      <w:pPr>
        <w:pStyle w:val="BillDots"/>
      </w:pPr>
      <w:r>
        <w:t>LISTON D. BARFIELD for Committee.</w:t>
      </w:r>
    </w:p>
    <w:p w:rsidR="00E3006F" w:rsidRPr="00E3006F" w:rsidRDefault="00E3006F" w:rsidP="00E3006F">
      <w:pPr>
        <w:pStyle w:val="BillDots"/>
        <w:jc w:val="center"/>
      </w:pPr>
      <w:r>
        <w:rPr>
          <w:u w:val="single"/>
        </w:rPr>
        <w:t>            </w:t>
      </w:r>
    </w:p>
    <w:p w:rsidR="00E3006F" w:rsidRDefault="00E3006F" w:rsidP="001D7F4F">
      <w:pPr>
        <w:pStyle w:val="BillDots"/>
        <w:sectPr w:rsidR="00E3006F" w:rsidSect="00E300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143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32A14">
        <w:rPr>
          <w:color w:val="000000" w:themeColor="text1"/>
          <w:u w:color="000000" w:themeColor="text1"/>
        </w:rPr>
        <w:t xml:space="preserve">TO MEMORIALIZE THE CONGRESS OF THE UNITED STATES TO ENACT SENATE BILL </w:t>
      </w:r>
      <w:r>
        <w:rPr>
          <w:color w:val="000000" w:themeColor="text1"/>
          <w:u w:color="000000" w:themeColor="text1"/>
        </w:rPr>
        <w:t>S.1846, THE HOMEOWNER FLOOD INSURANCE AFFORDABILITY ACT</w:t>
      </w:r>
      <w:r w:rsidRPr="00732A14">
        <w:rPr>
          <w:color w:val="000000" w:themeColor="text1"/>
          <w:u w:color="000000" w:themeColor="text1"/>
        </w:rPr>
        <w:t xml:space="preserve"> OF 2013, </w:t>
      </w:r>
      <w:r>
        <w:rPr>
          <w:color w:val="000000" w:themeColor="text1"/>
          <w:u w:color="000000" w:themeColor="text1"/>
        </w:rPr>
        <w:t xml:space="preserve"> IN ORDER </w:t>
      </w:r>
      <w:r w:rsidRPr="00732A14">
        <w:rPr>
          <w:color w:val="000000" w:themeColor="text1"/>
          <w:u w:color="000000" w:themeColor="text1"/>
        </w:rPr>
        <w:t xml:space="preserve">TO </w:t>
      </w:r>
      <w:r>
        <w:rPr>
          <w:color w:val="000000" w:themeColor="text1"/>
          <w:u w:color="000000" w:themeColor="text1"/>
        </w:rPr>
        <w:t>DELAY FLOOD INSURANCE RATE INCREASES CAUSED BY THE BIGGERT</w:t>
      </w:r>
      <w:r>
        <w:rPr>
          <w:color w:val="000000" w:themeColor="text1"/>
          <w:u w:color="000000" w:themeColor="text1"/>
        </w:rPr>
        <w:noBreakHyphen/>
        <w:t>WATERS FLOOD INSURANCE REFORM ACT OF 2012, AND TO REQUIRE THE FEDERAL EMERGENCY MANAGEMENT AGENCY TO STUDY THE AFFORDABILITY OF THAT ACT ON PROPERTY OWNERS AND TO IMPLEMENT AN ACCURATE FLOOD MAPPING APPROACH BEFORE RAISING FLOOD INSURANCE RATES; AND  TO UNDERTAKE EFFORTS TO DEVELOP A LONG</w:t>
      </w:r>
      <w:r>
        <w:rPr>
          <w:color w:val="000000" w:themeColor="text1"/>
          <w:u w:color="000000" w:themeColor="text1"/>
        </w:rPr>
        <w:noBreakHyphen/>
        <w:t>TERM SOLUTION TO ENSURING AN AFFORDABLE, ACCESSIBLE, AND SUSTAINABLE FLOOD INSURANCE PROGRAM.</w:t>
      </w:r>
    </w:p>
    <w:p w:rsidR="009B1437" w:rsidRDefault="009B1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Whereas, Congress enacted the Biggert</w:t>
      </w:r>
      <w:r>
        <w:rPr>
          <w:sz w:val="22"/>
          <w:szCs w:val="22"/>
        </w:rPr>
        <w:noBreakHyphen/>
      </w:r>
      <w:r w:rsidRPr="00D168F9">
        <w:rPr>
          <w:sz w:val="22"/>
          <w:szCs w:val="22"/>
        </w:rPr>
        <w:t>Waters Flood Insurance Reform Act of 2012, to help make the government</w:t>
      </w:r>
      <w:r w:rsidRPr="008B14AA">
        <w:rPr>
          <w:sz w:val="22"/>
          <w:szCs w:val="22"/>
        </w:rPr>
        <w:t>’</w:t>
      </w:r>
      <w:r w:rsidRPr="00D168F9">
        <w:rPr>
          <w:sz w:val="22"/>
          <w:szCs w:val="22"/>
        </w:rPr>
        <w:t xml:space="preserve">s flood insurance program financially solvent by bringing insurance rates in line with true flooding risks; and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it has become apparent that the law will </w:t>
      </w:r>
      <w:r>
        <w:rPr>
          <w:sz w:val="22"/>
          <w:szCs w:val="22"/>
        </w:rPr>
        <w:t>harm</w:t>
      </w:r>
      <w:r w:rsidRPr="00D168F9">
        <w:rPr>
          <w:sz w:val="22"/>
          <w:szCs w:val="22"/>
        </w:rPr>
        <w:t xml:space="preserve"> millions of Americans</w:t>
      </w:r>
      <w:r>
        <w:rPr>
          <w:sz w:val="22"/>
          <w:szCs w:val="22"/>
        </w:rPr>
        <w:t xml:space="preserve"> across the country</w:t>
      </w:r>
      <w:r w:rsidRPr="00D168F9">
        <w:rPr>
          <w:sz w:val="22"/>
          <w:szCs w:val="22"/>
        </w:rPr>
        <w:t>, including hundreds of thousands of property owners in South Carolina</w:t>
      </w:r>
      <w:r>
        <w:rPr>
          <w:sz w:val="22"/>
          <w:szCs w:val="22"/>
        </w:rPr>
        <w:t xml:space="preserve">, by </w:t>
      </w:r>
      <w:r w:rsidRPr="00D168F9">
        <w:rPr>
          <w:sz w:val="22"/>
          <w:szCs w:val="22"/>
        </w:rPr>
        <w:t xml:space="preserve">causing </w:t>
      </w:r>
      <w:r>
        <w:rPr>
          <w:sz w:val="22"/>
          <w:szCs w:val="22"/>
        </w:rPr>
        <w:t xml:space="preserve">substantial flood </w:t>
      </w:r>
      <w:r w:rsidRPr="00D168F9">
        <w:rPr>
          <w:sz w:val="22"/>
          <w:szCs w:val="22"/>
        </w:rPr>
        <w:t>insurance rate hike</w:t>
      </w:r>
      <w:r>
        <w:rPr>
          <w:sz w:val="22"/>
          <w:szCs w:val="22"/>
        </w:rPr>
        <w:t>s; and</w:t>
      </w:r>
      <w:r w:rsidRPr="00D168F9">
        <w:rPr>
          <w:sz w:val="22"/>
          <w:szCs w:val="22"/>
        </w:rPr>
        <w:t xml:space="preserve">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the impact </w:t>
      </w:r>
      <w:r>
        <w:rPr>
          <w:sz w:val="22"/>
          <w:szCs w:val="22"/>
        </w:rPr>
        <w:t xml:space="preserve">of these rate hikes </w:t>
      </w:r>
      <w:r w:rsidRPr="00D168F9">
        <w:rPr>
          <w:sz w:val="22"/>
          <w:szCs w:val="22"/>
        </w:rPr>
        <w:t>w</w:t>
      </w:r>
      <w:r>
        <w:rPr>
          <w:sz w:val="22"/>
          <w:szCs w:val="22"/>
        </w:rPr>
        <w:t>ill be particularly devastating i</w:t>
      </w:r>
      <w:r w:rsidRPr="00D168F9">
        <w:rPr>
          <w:sz w:val="22"/>
          <w:szCs w:val="22"/>
        </w:rPr>
        <w:t xml:space="preserve">n </w:t>
      </w:r>
      <w:r>
        <w:rPr>
          <w:sz w:val="22"/>
          <w:szCs w:val="22"/>
        </w:rPr>
        <w:t xml:space="preserve">the coastal counties of Beaufort, Berkeley, Charleston, Dorchester, Georgetown, and Horry, </w:t>
      </w:r>
      <w:r w:rsidRPr="00D168F9">
        <w:rPr>
          <w:sz w:val="22"/>
          <w:szCs w:val="22"/>
        </w:rPr>
        <w:t>which are flood</w:t>
      </w:r>
      <w:r w:rsidR="00980868">
        <w:rPr>
          <w:sz w:val="22"/>
          <w:szCs w:val="22"/>
        </w:rPr>
        <w:t xml:space="preserve"> </w:t>
      </w:r>
      <w:r w:rsidRPr="00D168F9">
        <w:rPr>
          <w:sz w:val="22"/>
          <w:szCs w:val="22"/>
        </w:rPr>
        <w:t>prone</w:t>
      </w:r>
      <w:r>
        <w:rPr>
          <w:sz w:val="22"/>
          <w:szCs w:val="22"/>
        </w:rPr>
        <w:t xml:space="preserve"> and are vital to a healthy tourism industry</w:t>
      </w:r>
      <w:r w:rsidRPr="00D168F9">
        <w:rPr>
          <w:sz w:val="22"/>
          <w:szCs w:val="22"/>
        </w:rPr>
        <w:t xml:space="preserve">; and </w:t>
      </w:r>
    </w:p>
    <w:p w:rsidR="008B14AA"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lastRenderedPageBreak/>
        <w:t xml:space="preserve">Whereas, </w:t>
      </w:r>
      <w:r>
        <w:rPr>
          <w:sz w:val="22"/>
          <w:szCs w:val="22"/>
        </w:rPr>
        <w:t>many residents</w:t>
      </w:r>
      <w:r w:rsidRPr="00D168F9">
        <w:rPr>
          <w:sz w:val="22"/>
          <w:szCs w:val="22"/>
        </w:rPr>
        <w:t xml:space="preserve"> of the State benefit from a </w:t>
      </w:r>
      <w:r>
        <w:rPr>
          <w:sz w:val="22"/>
          <w:szCs w:val="22"/>
        </w:rPr>
        <w:t>robust</w:t>
      </w:r>
      <w:r w:rsidRPr="00D168F9">
        <w:rPr>
          <w:sz w:val="22"/>
          <w:szCs w:val="22"/>
        </w:rPr>
        <w:t xml:space="preserve"> real estate market </w:t>
      </w:r>
      <w:r>
        <w:rPr>
          <w:sz w:val="22"/>
          <w:szCs w:val="22"/>
        </w:rPr>
        <w:t>in the Low Country, which will s</w:t>
      </w:r>
      <w:r w:rsidRPr="00D168F9">
        <w:rPr>
          <w:sz w:val="22"/>
          <w:szCs w:val="22"/>
        </w:rPr>
        <w:t xml:space="preserve">uffer </w:t>
      </w:r>
      <w:r>
        <w:rPr>
          <w:sz w:val="22"/>
          <w:szCs w:val="22"/>
        </w:rPr>
        <w:t>from</w:t>
      </w:r>
      <w:r w:rsidRPr="00D168F9">
        <w:rPr>
          <w:sz w:val="22"/>
          <w:szCs w:val="22"/>
        </w:rPr>
        <w:t xml:space="preserve"> the </w:t>
      </w:r>
      <w:r>
        <w:rPr>
          <w:sz w:val="22"/>
          <w:szCs w:val="22"/>
        </w:rPr>
        <w:t>impact of the Bigg</w:t>
      </w:r>
      <w:r w:rsidR="00086E1F">
        <w:rPr>
          <w:sz w:val="22"/>
          <w:szCs w:val="22"/>
        </w:rPr>
        <w:t>e</w:t>
      </w:r>
      <w:r>
        <w:rPr>
          <w:sz w:val="22"/>
          <w:szCs w:val="22"/>
        </w:rPr>
        <w:t>rt</w:t>
      </w:r>
      <w:r>
        <w:rPr>
          <w:sz w:val="22"/>
          <w:szCs w:val="22"/>
        </w:rPr>
        <w:noBreakHyphen/>
        <w:t xml:space="preserve">Waters Act on </w:t>
      </w:r>
      <w:r w:rsidR="00086E1F">
        <w:rPr>
          <w:sz w:val="22"/>
          <w:szCs w:val="22"/>
        </w:rPr>
        <w:t xml:space="preserve">flood </w:t>
      </w:r>
      <w:r w:rsidRPr="00D168F9">
        <w:rPr>
          <w:sz w:val="22"/>
          <w:szCs w:val="22"/>
        </w:rPr>
        <w:t>insurance rate</w:t>
      </w:r>
      <w:r>
        <w:rPr>
          <w:sz w:val="22"/>
          <w:szCs w:val="22"/>
        </w:rPr>
        <w:t>s</w:t>
      </w:r>
      <w:r w:rsidRPr="00D168F9">
        <w:rPr>
          <w:sz w:val="22"/>
          <w:szCs w:val="22"/>
        </w:rPr>
        <w:t xml:space="preserve"> </w:t>
      </w:r>
      <w:r>
        <w:rPr>
          <w:sz w:val="22"/>
          <w:szCs w:val="22"/>
        </w:rPr>
        <w:t>for</w:t>
      </w:r>
      <w:r w:rsidRPr="00D168F9">
        <w:rPr>
          <w:sz w:val="22"/>
          <w:szCs w:val="22"/>
        </w:rPr>
        <w:t xml:space="preserve"> </w:t>
      </w:r>
      <w:r>
        <w:rPr>
          <w:sz w:val="22"/>
          <w:szCs w:val="22"/>
        </w:rPr>
        <w:t>older properties and on home sales</w:t>
      </w:r>
      <w:r w:rsidRPr="00D168F9">
        <w:rPr>
          <w:sz w:val="22"/>
          <w:szCs w:val="22"/>
        </w:rPr>
        <w:t xml:space="preserve">; and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w:t>
      </w:r>
      <w:r>
        <w:rPr>
          <w:sz w:val="22"/>
          <w:szCs w:val="22"/>
        </w:rPr>
        <w:t>while Cong</w:t>
      </w:r>
      <w:r w:rsidRPr="00D168F9">
        <w:rPr>
          <w:sz w:val="22"/>
          <w:szCs w:val="22"/>
        </w:rPr>
        <w:t>ress passed a</w:t>
      </w:r>
      <w:r>
        <w:rPr>
          <w:sz w:val="22"/>
          <w:szCs w:val="22"/>
        </w:rPr>
        <w:t>n omnibus budget bill earlier this month</w:t>
      </w:r>
      <w:r w:rsidR="00086E1F">
        <w:rPr>
          <w:sz w:val="22"/>
          <w:szCs w:val="22"/>
        </w:rPr>
        <w:t>,</w:t>
      </w:r>
      <w:r>
        <w:rPr>
          <w:sz w:val="22"/>
          <w:szCs w:val="22"/>
        </w:rPr>
        <w:t xml:space="preserve"> which</w:t>
      </w:r>
      <w:r w:rsidRPr="00D168F9">
        <w:rPr>
          <w:sz w:val="22"/>
          <w:szCs w:val="22"/>
        </w:rPr>
        <w:t xml:space="preserve"> </w:t>
      </w:r>
      <w:r>
        <w:rPr>
          <w:sz w:val="22"/>
          <w:szCs w:val="22"/>
        </w:rPr>
        <w:t>included</w:t>
      </w:r>
      <w:r w:rsidRPr="00D168F9">
        <w:rPr>
          <w:sz w:val="22"/>
          <w:szCs w:val="22"/>
        </w:rPr>
        <w:t xml:space="preserve"> a four</w:t>
      </w:r>
      <w:r>
        <w:rPr>
          <w:sz w:val="22"/>
          <w:szCs w:val="22"/>
        </w:rPr>
        <w:noBreakHyphen/>
      </w:r>
      <w:r w:rsidRPr="00D168F9">
        <w:rPr>
          <w:sz w:val="22"/>
          <w:szCs w:val="22"/>
        </w:rPr>
        <w:t xml:space="preserve">month delay </w:t>
      </w:r>
      <w:r>
        <w:rPr>
          <w:sz w:val="22"/>
          <w:szCs w:val="22"/>
        </w:rPr>
        <w:t>in flood insurance rate hikes for a limited class of properties, thousands of individuals who do not benefit from the stop</w:t>
      </w:r>
      <w:r>
        <w:rPr>
          <w:sz w:val="22"/>
          <w:szCs w:val="22"/>
        </w:rPr>
        <w:noBreakHyphen/>
        <w:t>gap measure are experiencing  the negative effects of these rate increases that began October</w:t>
      </w:r>
      <w:r w:rsidR="00086E1F">
        <w:rPr>
          <w:sz w:val="22"/>
          <w:szCs w:val="22"/>
        </w:rPr>
        <w:t xml:space="preserve"> 1, 2013</w:t>
      </w:r>
      <w:r>
        <w:rPr>
          <w:sz w:val="22"/>
          <w:szCs w:val="22"/>
        </w:rPr>
        <w:t>;</w:t>
      </w:r>
      <w:r w:rsidRPr="00D168F9">
        <w:rPr>
          <w:sz w:val="22"/>
          <w:szCs w:val="22"/>
        </w:rPr>
        <w:t xml:space="preserve"> and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w:t>
      </w:r>
      <w:r>
        <w:rPr>
          <w:sz w:val="22"/>
          <w:szCs w:val="22"/>
        </w:rPr>
        <w:t xml:space="preserve">the </w:t>
      </w:r>
      <w:r w:rsidRPr="00D168F9">
        <w:rPr>
          <w:sz w:val="22"/>
          <w:szCs w:val="22"/>
        </w:rPr>
        <w:t xml:space="preserve">Homeowner Flood Insurance Affordability Act would </w:t>
      </w:r>
      <w:r>
        <w:rPr>
          <w:sz w:val="22"/>
          <w:szCs w:val="22"/>
        </w:rPr>
        <w:t>extend and expand the</w:t>
      </w:r>
      <w:r w:rsidRPr="00D168F9">
        <w:rPr>
          <w:sz w:val="22"/>
          <w:szCs w:val="22"/>
        </w:rPr>
        <w:t xml:space="preserve"> </w:t>
      </w:r>
      <w:r>
        <w:rPr>
          <w:sz w:val="22"/>
          <w:szCs w:val="22"/>
        </w:rPr>
        <w:t>moratorium on rate hikes</w:t>
      </w:r>
      <w:r w:rsidRPr="00D168F9">
        <w:rPr>
          <w:sz w:val="22"/>
          <w:szCs w:val="22"/>
        </w:rPr>
        <w:t xml:space="preserve"> </w:t>
      </w:r>
      <w:r>
        <w:rPr>
          <w:sz w:val="22"/>
          <w:szCs w:val="22"/>
        </w:rPr>
        <w:t>for four years, which will protect many more residents of the State and facilitate a process to develop a long</w:t>
      </w:r>
      <w:r>
        <w:rPr>
          <w:sz w:val="22"/>
          <w:szCs w:val="22"/>
        </w:rPr>
        <w:noBreakHyphen/>
        <w:t>term solution to ensure an affordable and solvent federal flood insurance program by requiring a study of the affordability of the Bigg</w:t>
      </w:r>
      <w:r w:rsidR="00086E1F">
        <w:rPr>
          <w:sz w:val="22"/>
          <w:szCs w:val="22"/>
        </w:rPr>
        <w:t>e</w:t>
      </w:r>
      <w:r>
        <w:rPr>
          <w:sz w:val="22"/>
          <w:szCs w:val="22"/>
        </w:rPr>
        <w:t>rt</w:t>
      </w:r>
      <w:r>
        <w:rPr>
          <w:sz w:val="22"/>
          <w:szCs w:val="22"/>
        </w:rPr>
        <w:noBreakHyphen/>
        <w:t xml:space="preserve">Waters Act and </w:t>
      </w:r>
      <w:r w:rsidR="00086E1F">
        <w:rPr>
          <w:sz w:val="22"/>
          <w:szCs w:val="22"/>
        </w:rPr>
        <w:t xml:space="preserve">the </w:t>
      </w:r>
      <w:r>
        <w:rPr>
          <w:sz w:val="22"/>
          <w:szCs w:val="22"/>
        </w:rPr>
        <w:t>development and implementation of  a flood mapping approach that, when applied, results in technically credible flood hazard data; and</w:t>
      </w:r>
      <w:r w:rsidRPr="00D168F9">
        <w:rPr>
          <w:sz w:val="22"/>
          <w:szCs w:val="22"/>
        </w:rPr>
        <w:t xml:space="preserve">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168F9">
        <w:rPr>
          <w:szCs w:val="22"/>
        </w:rPr>
        <w:t xml:space="preserve">Whereas, Senators </w:t>
      </w:r>
      <w:r>
        <w:rPr>
          <w:szCs w:val="22"/>
        </w:rPr>
        <w:t xml:space="preserve">Tim </w:t>
      </w:r>
      <w:r w:rsidRPr="00D168F9">
        <w:rPr>
          <w:szCs w:val="22"/>
        </w:rPr>
        <w:t xml:space="preserve">Scott and </w:t>
      </w:r>
      <w:r>
        <w:rPr>
          <w:szCs w:val="22"/>
        </w:rPr>
        <w:t xml:space="preserve">Lindsey </w:t>
      </w:r>
      <w:r w:rsidRPr="00D168F9">
        <w:rPr>
          <w:szCs w:val="22"/>
        </w:rPr>
        <w:t>Graham</w:t>
      </w:r>
      <w:r>
        <w:rPr>
          <w:szCs w:val="22"/>
        </w:rPr>
        <w:t xml:space="preserve"> have cosponsored this bill, which Senator Scott supports because the </w:t>
      </w:r>
      <w:r w:rsidR="003A7F4F">
        <w:rPr>
          <w:szCs w:val="22"/>
        </w:rPr>
        <w:t>“</w:t>
      </w:r>
      <w:r>
        <w:rPr>
          <w:szCs w:val="22"/>
        </w:rPr>
        <w:t>temporary delay will allow a halt in burdensome rate increases while the problem is addressed,</w:t>
      </w:r>
      <w:r w:rsidR="003A7F4F">
        <w:rPr>
          <w:szCs w:val="22"/>
        </w:rPr>
        <w:t>”</w:t>
      </w:r>
      <w:r>
        <w:rPr>
          <w:szCs w:val="22"/>
        </w:rPr>
        <w:t xml:space="preserve"> and which Senator Graham promotes as a measure that is </w:t>
      </w:r>
      <w:r w:rsidR="003A7F4F">
        <w:rPr>
          <w:szCs w:val="22"/>
        </w:rPr>
        <w:t>“</w:t>
      </w:r>
      <w:r>
        <w:rPr>
          <w:szCs w:val="22"/>
        </w:rPr>
        <w:t>critically important</w:t>
      </w:r>
      <w:r w:rsidR="003A7F4F">
        <w:rPr>
          <w:szCs w:val="22"/>
        </w:rPr>
        <w:t>”</w:t>
      </w:r>
      <w:r>
        <w:rPr>
          <w:szCs w:val="22"/>
        </w:rPr>
        <w:t xml:space="preserve"> for South Carolina</w:t>
      </w:r>
      <w:r w:rsidR="003A7F4F">
        <w:rPr>
          <w:szCs w:val="22"/>
        </w:rPr>
        <w:t>.  Now, therefore,</w:t>
      </w:r>
    </w:p>
    <w:p w:rsidR="008B14AA" w:rsidRPr="00D168F9" w:rsidRDefault="008B14AA"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Be it resolved by the House of Representatives</w:t>
      </w:r>
      <w:r>
        <w:rPr>
          <w:color w:val="000000" w:themeColor="text1"/>
          <w:u w:color="000000" w:themeColor="text1"/>
        </w:rPr>
        <w:t>, the Senate concurring</w:t>
      </w:r>
      <w:r w:rsidRPr="00732A14">
        <w:rPr>
          <w:color w:val="000000" w:themeColor="text1"/>
          <w:u w:color="000000" w:themeColor="text1"/>
        </w:rPr>
        <w:t>:</w:t>
      </w: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4AA" w:rsidRPr="003A7F4F"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A7F4F">
        <w:rPr>
          <w:szCs w:val="22"/>
        </w:rPr>
        <w:t xml:space="preserve">That the members of the General Assembly of the State of South Carolina, by this resolution, </w:t>
      </w:r>
      <w:r w:rsidRPr="003A7F4F">
        <w:rPr>
          <w:color w:val="000000" w:themeColor="text1"/>
          <w:szCs w:val="22"/>
          <w:u w:color="000000" w:themeColor="text1"/>
        </w:rPr>
        <w:t xml:space="preserve">respectfully memorialize Congress to enact Senate bill S.1846, The Homeowner Flood Insurance Affordability Act of 2013, as part of </w:t>
      </w:r>
      <w:r w:rsidR="00980868" w:rsidRPr="003A7F4F">
        <w:rPr>
          <w:color w:val="000000" w:themeColor="text1"/>
          <w:szCs w:val="22"/>
          <w:u w:color="000000" w:themeColor="text1"/>
        </w:rPr>
        <w:t xml:space="preserve">a </w:t>
      </w:r>
      <w:r w:rsidRPr="003A7F4F">
        <w:rPr>
          <w:color w:val="000000" w:themeColor="text1"/>
          <w:szCs w:val="22"/>
          <w:u w:color="000000" w:themeColor="text1"/>
        </w:rPr>
        <w:t>process to protect residents of the State from onerous increases in flood insurance rates and to design a long</w:t>
      </w:r>
      <w:r w:rsidRPr="003A7F4F">
        <w:rPr>
          <w:color w:val="000000" w:themeColor="text1"/>
          <w:szCs w:val="22"/>
          <w:u w:color="000000" w:themeColor="text1"/>
        </w:rPr>
        <w:noBreakHyphen/>
        <w:t>term strategy that will ensure an  accessible, affordable, and solvent National Flood Insurance Program</w:t>
      </w:r>
      <w:r w:rsidR="003A7F4F">
        <w:rPr>
          <w:szCs w:val="22"/>
        </w:rPr>
        <w:t>.</w:t>
      </w: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4AA" w:rsidRPr="00D168F9" w:rsidRDefault="008B14AA" w:rsidP="007936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168F9">
        <w:rPr>
          <w:color w:val="000000" w:themeColor="text1"/>
          <w:szCs w:val="22"/>
          <w:u w:color="000000" w:themeColor="text1"/>
        </w:rPr>
        <w:t>Be it further resolved that a copy of this resolution be forwarded to the South Carolina Congressional Delegation.</w:t>
      </w:r>
    </w:p>
    <w:p w:rsidR="00C13ADA" w:rsidRDefault="008B14AA" w:rsidP="0065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13ADA" w:rsidSect="00E300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4AA" w:rsidRDefault="008B14AA" w:rsidP="009F0C77">
      <w:r>
        <w:separator/>
      </w:r>
    </w:p>
  </w:endnote>
  <w:endnote w:type="continuationSeparator" w:id="0">
    <w:p w:rsidR="008B14AA" w:rsidRDefault="008B14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2B7429-7061-4FE2-B88B-61C121BB2D3F}"/>
    <w:embedBold r:id="rId2" w:fontKey="{E7F31D8F-2B4F-4947-82DF-2FD0B27C7A19}"/>
  </w:font>
  <w:font w:name="Calibri">
    <w:panose1 w:val="020F0502020204030204"/>
    <w:charset w:val="00"/>
    <w:family w:val="swiss"/>
    <w:pitch w:val="variable"/>
    <w:sig w:usb0="E10002FF" w:usb1="4000ACFF" w:usb2="00000009" w:usb3="00000000" w:csb0="0000019F" w:csb1="00000000"/>
    <w:embedRegular r:id="rId3" w:fontKey="{1498D50A-87CE-41AC-A342-28627E75A71E}"/>
  </w:font>
  <w:font w:name="Tahoma">
    <w:panose1 w:val="020B0604030504040204"/>
    <w:charset w:val="00"/>
    <w:family w:val="swiss"/>
    <w:pitch w:val="variable"/>
    <w:sig w:usb0="21002A87" w:usb1="80000000" w:usb2="00000008" w:usb3="00000000" w:csb0="000101FF" w:csb1="00000000"/>
    <w:embedRegular r:id="rId4" w:fontKey="{E1A50017-CF45-4259-A812-58344B5F4721}"/>
  </w:font>
  <w:font w:name="Cambria">
    <w:panose1 w:val="02040503050406030204"/>
    <w:charset w:val="00"/>
    <w:family w:val="roman"/>
    <w:pitch w:val="variable"/>
    <w:sig w:usb0="E00002FF" w:usb1="400004FF" w:usb2="00000000" w:usb3="00000000" w:csb0="0000019F" w:csb1="00000000"/>
    <w:embedRegular r:id="rId5" w:fontKey="{24DF72D0-85A5-4544-8DF4-AB04AEA4A8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F34" w:rsidRPr="00C13ADA" w:rsidRDefault="00C13ADA" w:rsidP="00C13ADA">
    <w:pPr>
      <w:pStyle w:val="Footer"/>
      <w:tabs>
        <w:tab w:val="clear" w:pos="4680"/>
        <w:tab w:val="clear" w:pos="9360"/>
        <w:tab w:val="center" w:pos="2995"/>
      </w:tabs>
      <w:spacing w:before="120"/>
    </w:pPr>
    <w:r>
      <w:t>[4559</w:t>
    </w:r>
    <w:r w:rsidR="00E3006F">
      <w:t>-</w:t>
    </w:r>
    <w:fldSimple w:instr=" PAGE  \* MERGEFORMAT ">
      <w:r w:rsidR="00650CBB">
        <w:rPr>
          <w:noProof/>
        </w:rPr>
        <w:t>1</w:t>
      </w:r>
    </w:fldSimple>
    <w:r w:rsidR="00E300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06F" w:rsidRPr="00C13ADA" w:rsidRDefault="00E3006F" w:rsidP="00C13ADA">
    <w:pPr>
      <w:pStyle w:val="Footer"/>
      <w:tabs>
        <w:tab w:val="clear" w:pos="4680"/>
        <w:tab w:val="clear" w:pos="9360"/>
        <w:tab w:val="center" w:pos="2995"/>
      </w:tabs>
      <w:spacing w:before="120"/>
    </w:pPr>
    <w:r>
      <w:t>[4559]</w:t>
    </w:r>
    <w:r>
      <w:tab/>
    </w:r>
    <w:fldSimple w:instr=" PAGE  \* MERGEFORMAT ">
      <w:r w:rsidR="00650C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4AA" w:rsidRDefault="008B14AA" w:rsidP="009F0C77">
      <w:r>
        <w:separator/>
      </w:r>
    </w:p>
  </w:footnote>
  <w:footnote w:type="continuationSeparator" w:id="0">
    <w:p w:rsidR="008B14AA" w:rsidRDefault="008B14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6VR14"/>
    <w:docVar w:name="CoverBillType" w:val="c"/>
    <w:docVar w:name="docpath" w:val="L:\Council\bills\GGS\22596VR14.DOCX"/>
    <w:docVar w:name="dvBillNumber" w:val="4559"/>
    <w:docVar w:name="dvBillNumberPrefix" w:val="H. "/>
    <w:docVar w:name="dvOriginalBody" w:val="House"/>
    <w:docVar w:name="dvSteno" w:val="GGS"/>
    <w:docVar w:name="NameofBody" w:val="h"/>
    <w:docVar w:name="vgroup2" w:val="Council"/>
  </w:docVars>
  <w:rsids>
    <w:rsidRoot w:val="00E4186A"/>
    <w:rsid w:val="00011869"/>
    <w:rsid w:val="000766CB"/>
    <w:rsid w:val="00086E1F"/>
    <w:rsid w:val="000E1785"/>
    <w:rsid w:val="000F40FA"/>
    <w:rsid w:val="0010776B"/>
    <w:rsid w:val="00133E66"/>
    <w:rsid w:val="001435A3"/>
    <w:rsid w:val="001D08F2"/>
    <w:rsid w:val="001D525B"/>
    <w:rsid w:val="001D7F4F"/>
    <w:rsid w:val="002321B6"/>
    <w:rsid w:val="00250967"/>
    <w:rsid w:val="002522D5"/>
    <w:rsid w:val="002543C8"/>
    <w:rsid w:val="00284AAE"/>
    <w:rsid w:val="002C60B8"/>
    <w:rsid w:val="002E4AE5"/>
    <w:rsid w:val="002E5912"/>
    <w:rsid w:val="00301B21"/>
    <w:rsid w:val="00325348"/>
    <w:rsid w:val="0032732C"/>
    <w:rsid w:val="00336AD0"/>
    <w:rsid w:val="0037079A"/>
    <w:rsid w:val="003A2D91"/>
    <w:rsid w:val="003A7F4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1DF7"/>
    <w:rsid w:val="00650CBB"/>
    <w:rsid w:val="006913C9"/>
    <w:rsid w:val="0069470D"/>
    <w:rsid w:val="00712658"/>
    <w:rsid w:val="00734F00"/>
    <w:rsid w:val="00793624"/>
    <w:rsid w:val="007A47F2"/>
    <w:rsid w:val="007A70AE"/>
    <w:rsid w:val="008362E8"/>
    <w:rsid w:val="008A1768"/>
    <w:rsid w:val="008B14AA"/>
    <w:rsid w:val="008F0F33"/>
    <w:rsid w:val="008F4429"/>
    <w:rsid w:val="00913072"/>
    <w:rsid w:val="0094021A"/>
    <w:rsid w:val="00980868"/>
    <w:rsid w:val="00992F34"/>
    <w:rsid w:val="009B1437"/>
    <w:rsid w:val="009B44AF"/>
    <w:rsid w:val="009C6A0B"/>
    <w:rsid w:val="009F0C77"/>
    <w:rsid w:val="009F4DD1"/>
    <w:rsid w:val="00A41684"/>
    <w:rsid w:val="00A64E80"/>
    <w:rsid w:val="00A72BCD"/>
    <w:rsid w:val="00A741D9"/>
    <w:rsid w:val="00A833AB"/>
    <w:rsid w:val="00A9741D"/>
    <w:rsid w:val="00AD4B17"/>
    <w:rsid w:val="00B412D4"/>
    <w:rsid w:val="00BC0ED3"/>
    <w:rsid w:val="00BE3C22"/>
    <w:rsid w:val="00BE789E"/>
    <w:rsid w:val="00C0345E"/>
    <w:rsid w:val="00C13ADA"/>
    <w:rsid w:val="00C3483A"/>
    <w:rsid w:val="00C74E9D"/>
    <w:rsid w:val="00C82FD3"/>
    <w:rsid w:val="00C92819"/>
    <w:rsid w:val="00C96FCA"/>
    <w:rsid w:val="00CC6B7B"/>
    <w:rsid w:val="00CD2089"/>
    <w:rsid w:val="00D73A67"/>
    <w:rsid w:val="00D74E72"/>
    <w:rsid w:val="00D970A9"/>
    <w:rsid w:val="00DB63BB"/>
    <w:rsid w:val="00DF3845"/>
    <w:rsid w:val="00E3006F"/>
    <w:rsid w:val="00E4186A"/>
    <w:rsid w:val="00E41911"/>
    <w:rsid w:val="00E92EEF"/>
    <w:rsid w:val="00EB67E0"/>
    <w:rsid w:val="00F24442"/>
    <w:rsid w:val="00F50AE3"/>
    <w:rsid w:val="00F534D4"/>
    <w:rsid w:val="00F67CF1"/>
    <w:rsid w:val="00F7680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B14AA"/>
    <w:pPr>
      <w:jc w:val="left"/>
    </w:pPr>
    <w:rPr>
      <w:sz w:val="24"/>
      <w:szCs w:val="24"/>
    </w:rPr>
  </w:style>
  <w:style w:type="paragraph" w:styleId="BalloonText">
    <w:name w:val="Balloon Text"/>
    <w:basedOn w:val="Normal"/>
    <w:link w:val="BalloonTextChar"/>
    <w:uiPriority w:val="99"/>
    <w:semiHidden/>
    <w:unhideWhenUsed/>
    <w:rsid w:val="00980868"/>
    <w:rPr>
      <w:rFonts w:ascii="Tahoma" w:hAnsi="Tahoma" w:cs="Tahoma"/>
      <w:sz w:val="16"/>
      <w:szCs w:val="16"/>
    </w:rPr>
  </w:style>
  <w:style w:type="character" w:customStyle="1" w:styleId="BalloonTextChar">
    <w:name w:val="Balloon Text Char"/>
    <w:basedOn w:val="DefaultParagraphFont"/>
    <w:link w:val="BalloonText"/>
    <w:uiPriority w:val="99"/>
    <w:semiHidden/>
    <w:rsid w:val="009808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5BEFD-2592-410D-83C8-9FABDF9C4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3502</Characters>
  <Application>Microsoft Office Word</Application>
  <DocSecurity>0</DocSecurity>
  <Lines>116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2014-01-23T15:13:00Z</cp:lastPrinted>
  <dcterms:created xsi:type="dcterms:W3CDTF">2014-02-05T23:10:00Z</dcterms:created>
  <dcterms:modified xsi:type="dcterms:W3CDTF">2014-02-05T23:10:00Z</dcterms:modified>
</cp:coreProperties>
</file>