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2620" w:rsidRP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597C" w:rsidRDefault="00A15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A1597C" w:rsidRDefault="00A15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27, 2014</w:t>
      </w:r>
    </w:p>
    <w:p w:rsidR="00A1597C" w:rsidRDefault="00A15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620" w:rsidRPr="00452620" w:rsidRDefault="00452620" w:rsidP="00452620">
      <w:pPr>
        <w:tabs>
          <w:tab w:val="right" w:pos="5933"/>
        </w:tabs>
        <w:suppressAutoHyphens/>
        <w:jc w:val="both"/>
        <w:rPr>
          <w:rFonts w:eastAsia="Times New Roman"/>
        </w:rPr>
      </w:pPr>
      <w:r>
        <w:rPr>
          <w:rFonts w:eastAsia="Times New Roman"/>
        </w:rPr>
        <w:tab/>
      </w:r>
      <w:r>
        <w:rPr>
          <w:rFonts w:eastAsia="Times New Roman"/>
          <w:b/>
          <w:sz w:val="36"/>
        </w:rPr>
        <w:t>S. 815</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6AB4">
        <w:t>Senators L. Martin and Campsen</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620" w:rsidRDefault="00A15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5/27/14--S</w:t>
      </w:r>
      <w:r w:rsidR="00452620">
        <w:rPr>
          <w:rFonts w:eastAsia="Times New Roman"/>
        </w:rPr>
        <w:t>.</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27, 2014.</w:t>
      </w:r>
    </w:p>
    <w:p w:rsidR="00452620" w:rsidRP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ABB" w:rsidRDefault="003E0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0ABB" w:rsidSect="003E0A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5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A0B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841DF" w:rsidRDefault="00C87F7C" w:rsidP="0088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7</w:t>
      </w:r>
      <w:r>
        <w:rPr>
          <w:color w:val="000000" w:themeColor="text1"/>
          <w:u w:color="000000" w:themeColor="text1"/>
        </w:rPr>
        <w:noBreakHyphen/>
        <w:t>11</w:t>
      </w:r>
      <w:r>
        <w:rPr>
          <w:color w:val="000000" w:themeColor="text1"/>
          <w:u w:color="000000" w:themeColor="text1"/>
        </w:rPr>
        <w:noBreakHyphen/>
        <w:t xml:space="preserve">30, </w:t>
      </w:r>
      <w:r w:rsidR="008841DF" w:rsidRPr="00B733D9">
        <w:rPr>
          <w:color w:val="000000" w:themeColor="text1"/>
          <w:u w:color="000000" w:themeColor="text1"/>
        </w:rPr>
        <w:t>SOUTH CAROLINA CODE OF LAWS, 1976, TO PROVIDE THAT A PARTY MAY CHOOSE TO CHANGE NOMINATION OF CANDIDATES BY PRIMARY TO A CONVENTION IF THREE</w:t>
      </w:r>
      <w:r w:rsidR="008841DF" w:rsidRPr="00B733D9">
        <w:rPr>
          <w:color w:val="000000" w:themeColor="text1"/>
          <w:u w:color="000000" w:themeColor="text1"/>
        </w:rPr>
        <w:noBreakHyphen/>
        <w:t>FOURTHS OF THE CONVENTION MEMBERSHIP APPROVES OF THE CONVENTION NOMINATION PROCESS, AND A MAJORITY OF THE VOTERS IN THAT PARTY’S NEXT PRIMARY ELECTION APPROVES THE USE OF A CONVENTION.</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A0B63" w:rsidRDefault="005A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B63" w:rsidRDefault="005A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0B63" w:rsidRDefault="005A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SECTION</w:t>
      </w:r>
      <w:r w:rsidRPr="00AA39C7">
        <w:rPr>
          <w:u w:color="000000" w:themeColor="text1"/>
        </w:rPr>
        <w:tab/>
        <w:t>1.</w:t>
      </w:r>
      <w:r w:rsidRPr="00AA39C7">
        <w:rPr>
          <w:u w:color="000000" w:themeColor="text1"/>
        </w:rPr>
        <w:tab/>
        <w:t>Section 7</w:t>
      </w:r>
      <w:r w:rsidRPr="00AA39C7">
        <w:rPr>
          <w:u w:color="000000" w:themeColor="text1"/>
        </w:rPr>
        <w:noBreakHyphen/>
        <w:t>3</w:t>
      </w:r>
      <w:r w:rsidRPr="00AA39C7">
        <w:rPr>
          <w:u w:color="000000" w:themeColor="text1"/>
        </w:rPr>
        <w:noBreakHyphen/>
        <w:t xml:space="preserve">20(C) of the 1976 Code, as last amended by Act 265 of 2012, is further amended to read: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t>“(C)</w:t>
      </w:r>
      <w:r w:rsidRPr="00AA39C7">
        <w:rPr>
          <w:u w:color="000000" w:themeColor="text1"/>
        </w:rPr>
        <w:tab/>
        <w:t xml:space="preserve">The executive director shall: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t>(1)</w:t>
      </w:r>
      <w:r w:rsidRPr="00AA39C7">
        <w:rPr>
          <w:u w:color="000000" w:themeColor="text1"/>
        </w:rPr>
        <w:tab/>
      </w:r>
      <w:r w:rsidRPr="00AA39C7">
        <w:rPr>
          <w:u w:val="single" w:color="000000" w:themeColor="text1"/>
        </w:rPr>
        <w:t>supervise the conduct of county board of e</w:t>
      </w:r>
      <w:r>
        <w:rPr>
          <w:u w:val="single" w:color="000000" w:themeColor="text1"/>
        </w:rPr>
        <w:t>lections and voter registration</w:t>
      </w:r>
      <w:r w:rsidRPr="00AA39C7">
        <w:rPr>
          <w:u w:val="single" w:color="000000" w:themeColor="text1"/>
        </w:rPr>
        <w:t>, as established pursuant to Article 1, Chapter 5, which administer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r w:rsidRPr="00AA39C7">
        <w:rPr>
          <w:u w:color="000000" w:themeColor="text1"/>
        </w:rPr>
        <w:t xml:space="preserve">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szCs w:val="52"/>
          <w:u w:color="000000" w:themeColor="text1"/>
        </w:rPr>
        <w:tab/>
      </w:r>
      <w:r w:rsidRPr="00AA39C7">
        <w:rPr>
          <w:szCs w:val="52"/>
          <w:u w:color="000000" w:themeColor="text1"/>
        </w:rPr>
        <w:tab/>
      </w:r>
      <w:r w:rsidRPr="00AA39C7">
        <w:rPr>
          <w:szCs w:val="52"/>
          <w:u w:val="single" w:color="000000" w:themeColor="text1"/>
        </w:rPr>
        <w:t>(2)</w:t>
      </w:r>
      <w:r w:rsidRPr="00AA39C7">
        <w:rPr>
          <w:szCs w:val="52"/>
          <w:u w:color="000000" w:themeColor="text1"/>
        </w:rPr>
        <w:tab/>
      </w:r>
      <w:r w:rsidRPr="00AA39C7">
        <w:rPr>
          <w:szCs w:val="52"/>
          <w:u w:val="single" w:color="000000" w:themeColor="text1"/>
        </w:rPr>
        <w:t>conduct reviews, audits, or other postelection analysis of county board of elections and voter</w:t>
      </w:r>
      <w:r>
        <w:rPr>
          <w:szCs w:val="52"/>
          <w:u w:val="single" w:color="000000" w:themeColor="text1"/>
        </w:rPr>
        <w:t xml:space="preserve"> registration</w:t>
      </w:r>
      <w:r w:rsidRPr="00AA39C7">
        <w:rPr>
          <w:szCs w:val="36"/>
          <w:u w:val="single" w:color="000000" w:themeColor="text1"/>
        </w:rPr>
        <w:t>, as established pursuant to Article 1, Chapter 5, to ensure those boards’ compliance</w:t>
      </w:r>
      <w:r w:rsidRPr="00AA39C7">
        <w:rPr>
          <w:u w:val="single" w:color="000000" w:themeColor="text1"/>
        </w:rPr>
        <w:t xml:space="preserve"> with the requirements with applicable state or federal law or State Election Commission policies and procedures with regard to the conduct of elections or the voter registration process by all persons involved in the elections process;</w:t>
      </w:r>
      <w:r w:rsidRPr="00AA39C7">
        <w:rPr>
          <w:u w:color="000000" w:themeColor="text1"/>
        </w:rPr>
        <w:t xml:space="preserve">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lastRenderedPageBreak/>
        <w:tab/>
      </w:r>
      <w:r w:rsidRPr="00AA39C7">
        <w:rPr>
          <w:u w:color="000000" w:themeColor="text1"/>
        </w:rPr>
        <w:tab/>
      </w:r>
      <w:r w:rsidRPr="00AA39C7">
        <w:rPr>
          <w:u w:val="single" w:color="000000" w:themeColor="text1"/>
        </w:rPr>
        <w:t>(3)</w:t>
      </w:r>
      <w:r w:rsidRPr="00AA39C7">
        <w:rPr>
          <w:u w:color="000000" w:themeColor="text1"/>
        </w:rPr>
        <w:tab/>
        <w:t xml:space="preserve">maintain a complete master file of all qualified electors by county and by precincts;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(2)</w:t>
      </w:r>
      <w:r w:rsidRPr="00AA39C7">
        <w:rPr>
          <w:u w:val="single" w:color="000000" w:themeColor="text1"/>
        </w:rPr>
        <w:t>(4)</w:t>
      </w:r>
      <w:r w:rsidRPr="00AA39C7">
        <w:rPr>
          <w:u w:color="000000" w:themeColor="text1"/>
        </w:rPr>
        <w:tab/>
        <w:t xml:space="preserve">delete the name of any elector: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u w:color="000000" w:themeColor="text1"/>
        </w:rPr>
        <w:tab/>
        <w:t>(a)</w:t>
      </w:r>
      <w:r w:rsidRPr="00AA39C7">
        <w:rPr>
          <w:u w:color="000000" w:themeColor="text1"/>
        </w:rPr>
        <w:tab/>
        <w:t xml:space="preserve">who is deceased;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u w:color="000000" w:themeColor="text1"/>
        </w:rPr>
        <w:tab/>
        <w:t>(b)</w:t>
      </w:r>
      <w:r w:rsidRPr="00AA39C7">
        <w:rPr>
          <w:u w:color="000000" w:themeColor="text1"/>
        </w:rPr>
        <w:tab/>
        <w:t xml:space="preserve">who is no longer qualified to vote in the precinct where currently registered;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u w:color="000000" w:themeColor="text1"/>
        </w:rPr>
        <w:tab/>
        <w:t>(c)</w:t>
      </w:r>
      <w:r w:rsidRPr="00AA39C7">
        <w:rPr>
          <w:u w:color="000000" w:themeColor="text1"/>
        </w:rPr>
        <w:tab/>
        <w:t xml:space="preserve">who has been convicted of a disqualifying crime;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u w:color="000000" w:themeColor="text1"/>
        </w:rPr>
        <w:tab/>
        <w:t>(d)</w:t>
      </w:r>
      <w:r w:rsidRPr="00AA39C7">
        <w:rPr>
          <w:u w:color="000000" w:themeColor="text1"/>
        </w:rPr>
        <w:tab/>
        <w:t xml:space="preserve">who is otherwise no longer qualified to vote as may be provided by law; or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u w:color="000000" w:themeColor="text1"/>
        </w:rPr>
        <w:tab/>
        <w:t>(e)</w:t>
      </w:r>
      <w:r w:rsidRPr="00AA39C7">
        <w:rPr>
          <w:u w:color="000000" w:themeColor="text1"/>
        </w:rPr>
        <w:tab/>
        <w:t xml:space="preserve">who requests in writing that his name be removed;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(3)</w:t>
      </w:r>
      <w:r w:rsidRPr="00AA39C7">
        <w:rPr>
          <w:u w:val="single" w:color="000000" w:themeColor="text1"/>
        </w:rPr>
        <w:t>(5)</w:t>
      </w:r>
      <w:r w:rsidRPr="00AA39C7">
        <w:rPr>
          <w:u w:color="000000" w:themeColor="text1"/>
        </w:rPr>
        <w:tab/>
        <w:t xml:space="preserve">enter names on the master file as they are reported by the county registration boards;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(4)</w:t>
      </w:r>
      <w:r w:rsidRPr="00AA39C7">
        <w:rPr>
          <w:u w:val="single" w:color="000000" w:themeColor="text1"/>
        </w:rPr>
        <w:t>(6)</w:t>
      </w:r>
      <w:r w:rsidRPr="00AA39C7">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(5)</w:t>
      </w:r>
      <w:r w:rsidRPr="00AA39C7">
        <w:rPr>
          <w:u w:val="single" w:color="000000" w:themeColor="text1"/>
        </w:rPr>
        <w:t>(7)</w:t>
      </w:r>
      <w:r w:rsidRPr="00AA39C7">
        <w:rPr>
          <w:u w:color="000000" w:themeColor="text1"/>
        </w:rPr>
        <w:tab/>
        <w:t xml:space="preserve">maintain all information furnished his office relating to the inclusion or deletion of names from the master file for four years;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(6)</w:t>
      </w:r>
      <w:r w:rsidRPr="00AA39C7">
        <w:rPr>
          <w:u w:val="single" w:color="000000" w:themeColor="text1"/>
        </w:rPr>
        <w:t>(8)</w:t>
      </w:r>
      <w:r w:rsidRPr="00AA39C7">
        <w:rPr>
          <w:u w:color="000000" w:themeColor="text1"/>
        </w:rPr>
        <w:tab/>
        <w:t xml:space="preserve">purchase, lease, or contract for the use of such equipment as may be necessary to properly execute the duties of his office, subject to the approval of the State Election Commission;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(7)</w:t>
      </w:r>
      <w:r w:rsidRPr="00AA39C7">
        <w:rPr>
          <w:u w:val="single" w:color="000000" w:themeColor="text1"/>
        </w:rPr>
        <w:t>(9)</w:t>
      </w:r>
      <w:r w:rsidRPr="00AA39C7">
        <w:rPr>
          <w:u w:color="000000" w:themeColor="text1"/>
        </w:rPr>
        <w:tab/>
        <w:t xml:space="preserve">secure from the United States courts and federal and state agencies available information as to persons convicted of disqualifying crimes;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(8)</w:t>
      </w:r>
      <w:r w:rsidRPr="00AA39C7">
        <w:rPr>
          <w:u w:val="single" w:color="000000" w:themeColor="text1"/>
        </w:rPr>
        <w:t>(10)</w:t>
      </w:r>
      <w:r w:rsidRPr="00AA39C7">
        <w:rPr>
          <w:u w:color="000000" w:themeColor="text1"/>
        </w:rPr>
        <w:tab/>
        <w:t xml:space="preserve">obtain information from any other source which may assist him in carrying out the purposes of this section;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(9)</w:t>
      </w:r>
      <w:r w:rsidRPr="00AA39C7">
        <w:rPr>
          <w:u w:val="single" w:color="000000" w:themeColor="text1"/>
        </w:rPr>
        <w:t>(11)</w:t>
      </w:r>
      <w:r w:rsidRPr="00AA39C7">
        <w:rPr>
          <w:u w:color="000000" w:themeColor="text1"/>
        </w:rPr>
        <w:tab/>
        <w:t xml:space="preserve">perform such other duties relating to elections as may be assigned him by the State Election Commission;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(10)</w:t>
      </w:r>
      <w:r w:rsidRPr="00AA39C7">
        <w:rPr>
          <w:u w:val="single" w:color="000000" w:themeColor="text1"/>
        </w:rPr>
        <w:t>(12)</w:t>
      </w:r>
      <w:r w:rsidRPr="00AA39C7">
        <w:rPr>
          <w:u w:color="000000" w:themeColor="text1"/>
        </w:rPr>
        <w:tab/>
        <w:t xml:space="preserve">furnish at reasonable price any precinct lists to a qualified elector requesting them;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(11)</w:t>
      </w:r>
      <w:r w:rsidRPr="00AA39C7">
        <w:rPr>
          <w:u w:val="single" w:color="000000" w:themeColor="text1"/>
        </w:rPr>
        <w:t>(13)</w:t>
      </w:r>
      <w:r w:rsidRPr="00AA39C7">
        <w:rPr>
          <w:u w:color="000000" w:themeColor="text1"/>
        </w:rPr>
        <w:tab/>
        <w:t xml:space="preserve">serve as the chief state election official responsible for implementing and coordinating the state’s responsibilities under the National Voter Registration Act of 1993;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(12)</w:t>
      </w:r>
      <w:r w:rsidRPr="00AA39C7">
        <w:rPr>
          <w:u w:val="single" w:color="000000" w:themeColor="text1"/>
        </w:rPr>
        <w:t>(14)</w:t>
      </w:r>
      <w:r w:rsidRPr="00AA39C7">
        <w:rPr>
          <w:u w:color="000000" w:themeColor="text1"/>
        </w:rPr>
        <w:tab/>
        <w:t xml:space="preserve">serve as the chief state election official responsible for implementing and enforcing the state’s responsibilities under the Uniformed and Overseas Citizens Absentee Voting Act (UOCAVA), as set forth in the U.S.C., Title 42, Section 1973ff, et seq; and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A39C7">
        <w:rPr>
          <w:u w:color="000000" w:themeColor="text1"/>
        </w:rPr>
        <w:tab/>
      </w:r>
      <w:r w:rsidRPr="00AA39C7">
        <w:rPr>
          <w:u w:color="000000" w:themeColor="text1"/>
        </w:rPr>
        <w:tab/>
      </w:r>
      <w:r w:rsidRPr="00AA39C7">
        <w:rPr>
          <w:strike/>
          <w:u w:color="000000" w:themeColor="text1"/>
        </w:rPr>
        <w:t>(13)</w:t>
      </w:r>
      <w:r w:rsidRPr="00AA39C7">
        <w:rPr>
          <w:u w:val="single" w:color="000000" w:themeColor="text1"/>
        </w:rPr>
        <w:t>(15)</w:t>
      </w:r>
      <w:r w:rsidRPr="00AA39C7">
        <w:rPr>
          <w:u w:color="000000" w:themeColor="text1"/>
        </w:rPr>
        <w:tab/>
        <w:t xml:space="preserve">establish and maintain a statewide voter registration database that shall be administered by the commission and made </w:t>
      </w:r>
      <w:r w:rsidRPr="00AA39C7">
        <w:rPr>
          <w:u w:color="000000" w:themeColor="text1"/>
        </w:rPr>
        <w:lastRenderedPageBreak/>
        <w:t xml:space="preserve">continuously available to each board of elections and to other agencies as authorized by law.”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 xml:space="preserve">SECTION </w:t>
      </w:r>
      <w:r w:rsidRPr="009A208A">
        <w:rPr>
          <w:u w:color="000000" w:themeColor="text1"/>
        </w:rPr>
        <w:tab/>
        <w:t>2.</w:t>
      </w:r>
      <w:r w:rsidRPr="009A208A">
        <w:rPr>
          <w:u w:color="000000" w:themeColor="text1"/>
        </w:rPr>
        <w:tab/>
        <w:t>Chapter 3, Title 7 of the 1976 Code is amended by adding:</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w:t>
      </w:r>
      <w:r w:rsidRPr="009A208A">
        <w:rPr>
          <w:u w:color="000000" w:themeColor="text1"/>
        </w:rPr>
        <w:noBreakHyphen/>
        <w:t>3</w:t>
      </w:r>
      <w:r w:rsidRPr="009A208A">
        <w:rPr>
          <w:u w:color="000000" w:themeColor="text1"/>
        </w:rPr>
        <w:noBreakHyphen/>
        <w:t>25.</w:t>
      </w:r>
      <w:r w:rsidRPr="009A208A">
        <w:rPr>
          <w:u w:color="000000" w:themeColor="text1"/>
        </w:rPr>
        <w:tab/>
        <w:t>(A)</w:t>
      </w:r>
      <w:r w:rsidRPr="009A208A">
        <w:rPr>
          <w:u w:color="000000" w:themeColor="text1"/>
        </w:rPr>
        <w:tab/>
        <w:t>In the event that the State Election Commission, acting through its Executive Director, determines that  a county board of elections and voter registration has failed to comply with applicable state or federal law or State Election Commission policies and procedures with regard to the conduct of the election or voter registration process, the State Election Commission, acting through its Executive Director or other designee, must supervise, pursuant to Section 7</w:t>
      </w:r>
      <w:r w:rsidRPr="009A208A">
        <w:rPr>
          <w:u w:color="000000" w:themeColor="text1"/>
        </w:rPr>
        <w:noBreakHyphen/>
        <w:t>3</w:t>
      </w:r>
      <w:r w:rsidRPr="009A208A">
        <w:rPr>
          <w:u w:color="000000" w:themeColor="text1"/>
        </w:rPr>
        <w:noBreakHyphen/>
        <w:t>20(C)(1), the county board to the extent necessary to:</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sidRPr="009A208A">
        <w:rPr>
          <w:u w:color="000000" w:themeColor="text1"/>
        </w:rPr>
        <w:tab/>
        <w:t xml:space="preserve">identify the failure to comply with state or federal law or State Election Commission policies and procedures;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sidRPr="009A208A">
        <w:rPr>
          <w:u w:color="000000" w:themeColor="text1"/>
        </w:rPr>
        <w:tab/>
        <w:t xml:space="preserve">establish a plan to correct the failure; and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t>(3)</w:t>
      </w:r>
      <w:r w:rsidRPr="009A208A">
        <w:rPr>
          <w:u w:color="000000" w:themeColor="text1"/>
        </w:rPr>
        <w:tab/>
        <w:t>implement the plan to correct the failure.  The officials and employees of the State Election Commission and the county board must work together, in good faith, to remedy the failure of the county board to adhere to state or federal law.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(B)</w:t>
      </w:r>
      <w:r w:rsidRPr="009A208A">
        <w:rPr>
          <w:u w:color="000000" w:themeColor="text1"/>
        </w:rPr>
        <w:tab/>
        <w:t xml:space="preserve">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(C)</w:t>
      </w:r>
      <w:r w:rsidRPr="009A208A">
        <w:rPr>
          <w:u w:color="000000" w:themeColor="text1"/>
        </w:rPr>
        <w:tab/>
        <w:t xml:space="preserve">If the State Election Commission determines that an official or an employee of a county board of voter registration and elections has negligently failed to comply with applicable state or federal law or State Election Commission policies and procedures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w:t>
      </w:r>
      <w:r w:rsidRPr="009A208A">
        <w:rPr>
          <w:u w:color="000000" w:themeColor="text1"/>
        </w:rPr>
        <w:lastRenderedPageBreak/>
        <w:t xml:space="preserve">finds that the failure to comply with state or federal law or State Election Commission policies and procedures by an official is wilful, it shall recommend the termination of that official to the Governor or it shall recommend termination of a staff member to the director of the appropriate county board of voter registration and elections.”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3.</w:t>
      </w:r>
      <w:r w:rsidRPr="009A208A">
        <w:rPr>
          <w:u w:color="000000" w:themeColor="text1"/>
        </w:rPr>
        <w:tab/>
        <w:t>Section 7-5-10 of the 1976 Code, as last amended by Act 100 of 2007, is further amended 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7-5-10.</w:t>
      </w:r>
      <w:r w:rsidRPr="009A208A">
        <w:rPr>
          <w:u w:color="000000" w:themeColor="text1"/>
        </w:rPr>
        <w:tab/>
        <w:t>(A)</w:t>
      </w:r>
      <w:r w:rsidRPr="009A208A">
        <w:rPr>
          <w:u w:val="single"/>
        </w:rPr>
        <w:t>(1)</w:t>
      </w:r>
      <w:r w:rsidRPr="009A208A">
        <w:rPr>
          <w:u w:color="000000" w:themeColor="text1"/>
        </w:rPr>
        <w:tab/>
      </w:r>
      <w:r w:rsidRPr="009A208A">
        <w:rPr>
          <w:strike/>
          <w:u w:color="000000" w:themeColor="text1"/>
        </w:rPr>
        <w:t>Between the first day of January and the fifteenth day of March in each even-numbered year the</w:t>
      </w:r>
      <w:r w:rsidRPr="009A208A">
        <w:rPr>
          <w:u w:color="000000" w:themeColor="text1"/>
        </w:rPr>
        <w:t xml:space="preserve"> </w:t>
      </w:r>
      <w:r w:rsidRPr="009A208A">
        <w:rPr>
          <w:u w:val="single"/>
        </w:rPr>
        <w:t>The</w:t>
      </w:r>
      <w:r w:rsidRPr="009A208A">
        <w:rPr>
          <w:u w:color="000000" w:themeColor="text1"/>
        </w:rPr>
        <w:t xml:space="preserve"> Governor shall appoint, </w:t>
      </w:r>
      <w:r w:rsidRPr="009A208A">
        <w:rPr>
          <w:strike/>
          <w:u w:color="000000" w:themeColor="text1"/>
        </w:rPr>
        <w:t>by and with the advice and consent of the Senate</w:t>
      </w:r>
      <w:r w:rsidRPr="009A208A">
        <w:rPr>
          <w:u w:color="000000" w:themeColor="text1"/>
        </w:rPr>
        <w:t xml:space="preserve"> </w:t>
      </w:r>
      <w:r w:rsidRPr="009A208A">
        <w:rPr>
          <w:u w:val="single"/>
        </w:rPr>
        <w:t>upon the recommendation of the legislative delegation of the counties</w:t>
      </w:r>
      <w:r w:rsidRPr="009A208A">
        <w:rPr>
          <w:u w:color="000000" w:themeColor="text1"/>
        </w:rPr>
        <w:t xml:space="preserve">, </w:t>
      </w:r>
      <w:r w:rsidRPr="009A208A">
        <w:rPr>
          <w:strike/>
          <w:u w:color="000000" w:themeColor="text1"/>
        </w:rPr>
        <w:t>not less than three nor more than five</w:t>
      </w:r>
      <w:r w:rsidRPr="009A208A">
        <w:rPr>
          <w:u w:color="000000" w:themeColor="text1"/>
        </w:rPr>
        <w:t xml:space="preserve"> competent and discreet persons in each county, who are qualified electors of that county and who must be known as the ‘Board of </w:t>
      </w:r>
      <w:r w:rsidRPr="009A208A">
        <w:rPr>
          <w:u w:val="single"/>
        </w:rPr>
        <w:t>Voter</w:t>
      </w:r>
      <w:r w:rsidRPr="009A208A">
        <w:rPr>
          <w:u w:color="000000" w:themeColor="text1"/>
        </w:rPr>
        <w:t xml:space="preserve"> Registration </w:t>
      </w:r>
      <w:r w:rsidRPr="009A208A">
        <w:rPr>
          <w:u w:val="single"/>
        </w:rPr>
        <w:t>and Elections</w:t>
      </w:r>
      <w:r w:rsidRPr="009A208A">
        <w:rPr>
          <w:u w:color="000000" w:themeColor="text1"/>
        </w:rPr>
        <w:t xml:space="preserve"> of _________ County’. </w:t>
      </w:r>
      <w:r w:rsidRPr="009A208A">
        <w:rPr>
          <w:u w:val="single"/>
        </w:rPr>
        <w:t>The total number of members on the board must be not less than five nor more than nine persons. At least one appointee on the board shall be a member of the majority political party represented in the General Assembly and at least one appointee shall be a member of the largest minority political party represented in the General Assembly.</w:t>
      </w:r>
      <w:r w:rsidRPr="009A208A">
        <w:t xml:space="preserve">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rPr>
          <w:u w:color="000000" w:themeColor="text1"/>
        </w:rPr>
        <w:tab/>
      </w:r>
      <w:r w:rsidRPr="009A208A">
        <w:rPr>
          <w:u w:color="000000" w:themeColor="text1"/>
        </w:rPr>
        <w:tab/>
      </w:r>
      <w:r w:rsidRPr="009A208A">
        <w:rPr>
          <w:u w:val="single"/>
        </w:rPr>
        <w:t>(2)</w:t>
      </w:r>
      <w:r w:rsidRPr="009A208A">
        <w:rPr>
          <w:u w:color="000000" w:themeColor="text1"/>
        </w:rPr>
        <w:tab/>
      </w:r>
      <w:r w:rsidRPr="009A208A">
        <w:rPr>
          <w:u w:val="single"/>
        </w:rPr>
        <w:t xml:space="preserve">After their appointment, the board members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tab/>
      </w:r>
      <w:r w:rsidRPr="009A208A">
        <w:tab/>
      </w:r>
      <w:r w:rsidRPr="009A208A">
        <w:rPr>
          <w:u w:val="single"/>
        </w:rPr>
        <w:t>(3)</w:t>
      </w:r>
      <w:r w:rsidRPr="009A208A">
        <w:tab/>
      </w:r>
      <w:r w:rsidRPr="009A208A">
        <w:rPr>
          <w:u w:val="single"/>
        </w:rPr>
        <w:t>The oath must be filed immediately in the office of the clerk of court of common pleas of the county in which the commissioners are appointed, or if there is no clerk of court, in the office of the Secretary of State.</w:t>
      </w:r>
      <w:r w:rsidRPr="009A208A">
        <w:rPr>
          <w:u w:color="000000" w:themeColor="text1"/>
        </w:rPr>
        <w:t xml:space="preserve">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u w:val="single"/>
        </w:rPr>
        <w:t>(4)</w:t>
      </w:r>
      <w:r w:rsidRPr="009A208A">
        <w:rPr>
          <w:u w:color="000000" w:themeColor="text1"/>
        </w:rPr>
        <w:tab/>
        <w:t>The Governor shall notify the State Election Commission in writing of the appointments.  The members appointed are subject to removal by the Governor for incapacity, misconduct, or neglect of duty.</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rPr>
          <w:u w:val="single"/>
        </w:rPr>
        <w:t>(B)(1)</w:t>
      </w:r>
      <w:r w:rsidRPr="009A208A">
        <w:tab/>
      </w:r>
      <w:r w:rsidRPr="009A208A">
        <w:rPr>
          <w:u w:val="single"/>
        </w:rPr>
        <w:t xml:space="preserve">The Governor shall appoint the initial appointees within six months of the effective date of this section. Four of the initial </w:t>
      </w:r>
      <w:r w:rsidRPr="009A208A">
        <w:rPr>
          <w:u w:val="single"/>
        </w:rPr>
        <w:lastRenderedPageBreak/>
        <w:t xml:space="preserve">appointees shall serve two-year terms, and the remaining initial appointees shall serve four-year terms.  Upon expiration of the terms of those members initially appointed, the term of office for the members of the board is four years, and until their successors are appointed and qualify.  Members may succeed themselves.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rPr>
      </w:pPr>
      <w:r w:rsidRPr="009A208A">
        <w:rPr>
          <w:snapToGrid w:val="0"/>
        </w:rPr>
        <w:tab/>
      </w:r>
      <w:r w:rsidRPr="009A208A">
        <w:rPr>
          <w:snapToGrid w:val="0"/>
        </w:rPr>
        <w:tab/>
      </w:r>
      <w:r w:rsidRPr="009A208A">
        <w:rPr>
          <w:snapToGrid w:val="0"/>
          <w:u w:val="single"/>
        </w:rPr>
        <w:t>(2)</w:t>
      </w:r>
      <w:r w:rsidRPr="009A208A">
        <w:rPr>
          <w:snapToGrid w:val="0"/>
        </w:rPr>
        <w:tab/>
      </w:r>
      <w:r w:rsidRPr="009A208A">
        <w:rPr>
          <w:snapToGrid w:val="0"/>
          <w:u w:val="single"/>
        </w:rPr>
        <w:t>A member must be present at a meeting in order to vote.</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52620">
        <w:rPr>
          <w:snapToGrid w:val="0"/>
        </w:rPr>
        <w:tab/>
      </w:r>
      <w:r w:rsidRPr="009A208A">
        <w:rPr>
          <w:snapToGrid w:val="0"/>
        </w:rPr>
        <w:tab/>
      </w:r>
      <w:r w:rsidRPr="009A208A">
        <w:rPr>
          <w:u w:val="single"/>
        </w:rPr>
        <w:t>(3)</w:t>
      </w:r>
      <w:r w:rsidRPr="009A208A">
        <w:tab/>
      </w:r>
      <w:r w:rsidRPr="009A208A">
        <w:rPr>
          <w:u w:val="single"/>
        </w:rPr>
        <w:t>If a member misses three consecutive meetings of the board, the chairman or his designee shall immediately notify the Governor who shall then remove the member from office.</w:t>
      </w:r>
      <w:r w:rsidRPr="009A208A">
        <w:tab/>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tab/>
      </w:r>
      <w:r w:rsidRPr="009A208A">
        <w:rPr>
          <w:u w:val="single"/>
        </w:rPr>
        <w:t>(4)</w:t>
      </w:r>
      <w:r w:rsidRPr="009A208A">
        <w:tab/>
      </w:r>
      <w:r w:rsidRPr="009A208A">
        <w:rPr>
          <w:u w:val="single"/>
        </w:rPr>
        <w:t xml:space="preserve">In case of a vacancy on the board, the vacancy must be filled in the same manner as an original appointment, as provided in this section, for the unexpired term.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tab/>
      </w:r>
      <w:r w:rsidRPr="009A208A">
        <w:rPr>
          <w:u w:val="single"/>
        </w:rPr>
        <w:t>(5)</w:t>
      </w:r>
      <w:r w:rsidRPr="009A208A">
        <w:tab/>
      </w:r>
      <w:r w:rsidRPr="009A208A">
        <w:rPr>
          <w:u w:val="single"/>
        </w:rPr>
        <w:t>The board shall elect from among its members a chairman and such other officers as it may consider desirable.  The board shall then notify the State Election Commission in writing of the name of the persons elected as chairman and officers of the board. Each officer shall be elected for a term of two years.</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tab/>
      </w:r>
      <w:r w:rsidRPr="009A208A">
        <w:rPr>
          <w:u w:val="single"/>
        </w:rPr>
        <w:t>(6)</w:t>
      </w:r>
      <w:r w:rsidRPr="009A208A">
        <w:tab/>
      </w:r>
      <w:r w:rsidRPr="009A208A">
        <w:rPr>
          <w:u w:val="single"/>
        </w:rPr>
        <w:t>The board must hire a director.  The director is responsible for hiring and managing the staff.  Staff positions are subject to the personnel system policies and procedures by which all county employees are regulated, except that the director serves at the pleasure of the board.  A member of the board must not be hired or serve as a member of the staff while serving as a board member.</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tab/>
      </w:r>
      <w:r w:rsidRPr="009A208A">
        <w:rPr>
          <w:u w:val="single"/>
        </w:rPr>
        <w:t>(7)</w:t>
      </w:r>
      <w:r w:rsidRPr="009A208A">
        <w:tab/>
      </w:r>
      <w:r w:rsidRPr="009A208A">
        <w:rPr>
          <w:u w:val="single"/>
        </w:rPr>
        <w:t>Members of the board and its staff shall receive compensation as may be appropriated by the governing body of the county.</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rPr>
          <w:u w:val="single"/>
        </w:rPr>
        <w:t>(C)</w:t>
      </w:r>
      <w:r w:rsidRPr="009A208A">
        <w:tab/>
      </w:r>
      <w:r w:rsidRPr="009A208A">
        <w:rPr>
          <w:u w:val="single"/>
        </w:rPr>
        <w:t>The previous offices of county election commissions, voter registration boards, or combined boards are abolished.  The powers and duties of the county election commissions, voter registration boards, or combined boards are devolved upon the board of voter registration and elections for each county created in subsection (A).  Those members currently serving on the county election commissions, voter registration boards, or combined boards shall continue to serve in a combined governing capacity until at least five members of the successor board members established under this section are appointed and qualify.</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strike/>
          <w:u w:color="000000" w:themeColor="text1"/>
        </w:rPr>
        <w:t>(B)</w:t>
      </w:r>
      <w:r w:rsidRPr="009A208A">
        <w:rPr>
          <w:u w:val="single"/>
        </w:rPr>
        <w:t>(D)</w:t>
      </w:r>
      <w:r w:rsidRPr="009A208A">
        <w:rPr>
          <w:u w:color="000000" w:themeColor="text1"/>
        </w:rPr>
        <w:t>(1)</w:t>
      </w:r>
      <w:r w:rsidRPr="009A208A">
        <w:rPr>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w:t>
      </w:r>
      <w:r w:rsidRPr="009A208A">
        <w:rPr>
          <w:u w:color="000000" w:themeColor="text1"/>
        </w:rPr>
        <w:lastRenderedPageBreak/>
        <w:t xml:space="preserve">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A208A">
        <w:rPr>
          <w:u w:color="000000" w:themeColor="text1"/>
        </w:rPr>
        <w:tab/>
      </w:r>
      <w:r w:rsidRPr="009A208A">
        <w:rPr>
          <w:u w:color="000000" w:themeColor="text1"/>
        </w:rPr>
        <w:tab/>
      </w:r>
      <w:r w:rsidRPr="009A208A">
        <w:rPr>
          <w:strike/>
          <w:u w:color="000000" w:themeColor="text1"/>
        </w:rPr>
        <w:t>(2)(a)</w:t>
      </w:r>
      <w:r w:rsidRPr="009A208A">
        <w:rPr>
          <w:u w:color="000000" w:themeColor="text1"/>
        </w:rPr>
        <w:tab/>
      </w:r>
      <w:r w:rsidRPr="009A208A">
        <w:rPr>
          <w:strike/>
          <w:u w:color="000000" w:themeColor="text1"/>
        </w:rPr>
        <w:t xml:space="preserve">The provisions of this section do not exempt any member or staff person from completing the training and certification program required in item (1).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A208A">
        <w:rPr>
          <w:u w:color="000000" w:themeColor="text1"/>
        </w:rPr>
        <w:tab/>
      </w:r>
      <w:r w:rsidRPr="009A208A">
        <w:rPr>
          <w:u w:color="000000" w:themeColor="text1"/>
        </w:rPr>
        <w:tab/>
      </w:r>
      <w:r w:rsidRPr="009A208A">
        <w:rPr>
          <w:u w:color="000000" w:themeColor="text1"/>
        </w:rPr>
        <w:tab/>
      </w:r>
      <w:r w:rsidRPr="009A208A">
        <w:rPr>
          <w:strike/>
          <w:u w:color="000000" w:themeColor="text1"/>
        </w:rPr>
        <w:t>(b)</w:t>
      </w:r>
      <w:r w:rsidRPr="009A208A">
        <w:rPr>
          <w:u w:color="000000" w:themeColor="text1"/>
        </w:rPr>
        <w:tab/>
      </w:r>
      <w:r w:rsidRPr="009A208A">
        <w:rPr>
          <w:strike/>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A208A">
        <w:rPr>
          <w:u w:color="000000" w:themeColor="text1"/>
        </w:rPr>
        <w:tab/>
      </w:r>
      <w:r w:rsidRPr="009A208A">
        <w:rPr>
          <w:u w:color="000000" w:themeColor="text1"/>
        </w:rPr>
        <w:tab/>
      </w:r>
      <w:r w:rsidRPr="009A208A">
        <w:rPr>
          <w:u w:color="000000" w:themeColor="text1"/>
        </w:rPr>
        <w:tab/>
      </w:r>
      <w:r w:rsidRPr="009A208A">
        <w:rPr>
          <w:u w:color="000000" w:themeColor="text1"/>
        </w:rPr>
        <w:tab/>
      </w:r>
      <w:r w:rsidRPr="009A208A">
        <w:rPr>
          <w:strike/>
          <w:u w:color="000000" w:themeColor="text1"/>
        </w:rPr>
        <w:t>(i)</w:t>
      </w:r>
      <w:r w:rsidRPr="009A208A">
        <w:rPr>
          <w:u w:color="000000" w:themeColor="text1"/>
        </w:rPr>
        <w:tab/>
      </w:r>
      <w:r>
        <w:rPr>
          <w:u w:color="000000" w:themeColor="text1"/>
        </w:rPr>
        <w:tab/>
      </w:r>
      <w:r w:rsidRPr="009A208A">
        <w:rPr>
          <w:strike/>
          <w:u w:color="000000" w:themeColor="text1"/>
        </w:rPr>
        <w:t xml:space="preserve">eighteen months after the member’s appointment or reappointment after a break in service or the staff person’s employment or reemployment after a break in service; or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A208A">
        <w:rPr>
          <w:u w:color="000000" w:themeColor="text1"/>
        </w:rPr>
        <w:tab/>
      </w:r>
      <w:r w:rsidRPr="009A208A">
        <w:rPr>
          <w:u w:color="000000" w:themeColor="text1"/>
        </w:rPr>
        <w:tab/>
      </w:r>
      <w:r w:rsidRPr="009A208A">
        <w:rPr>
          <w:u w:color="000000" w:themeColor="text1"/>
        </w:rPr>
        <w:tab/>
      </w:r>
      <w:r w:rsidRPr="009A208A">
        <w:rPr>
          <w:u w:color="000000" w:themeColor="text1"/>
        </w:rPr>
        <w:tab/>
      </w:r>
      <w:r w:rsidRPr="009A208A">
        <w:rPr>
          <w:strike/>
          <w:u w:color="000000" w:themeColor="text1"/>
        </w:rPr>
        <w:t>(ii)</w:t>
      </w:r>
      <w:r w:rsidRPr="009A208A">
        <w:rPr>
          <w:u w:color="000000" w:themeColor="text1"/>
        </w:rPr>
        <w:tab/>
      </w:r>
      <w:r w:rsidRPr="009A208A">
        <w:rPr>
          <w:strike/>
          <w:u w:color="000000" w:themeColor="text1"/>
        </w:rPr>
        <w:t xml:space="preserve">ninety days after the effective date of this section.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u w:color="000000" w:themeColor="text1"/>
        </w:rPr>
        <w:tab/>
      </w:r>
      <w:r w:rsidRPr="009A208A">
        <w:rPr>
          <w:strike/>
          <w:u w:color="000000" w:themeColor="text1"/>
        </w:rPr>
        <w:t>(c)</w:t>
      </w:r>
      <w:r w:rsidRPr="009A208A">
        <w:rPr>
          <w:u w:color="000000" w:themeColor="text1"/>
        </w:rPr>
        <w:tab/>
      </w:r>
      <w:r w:rsidRPr="009A208A">
        <w:rPr>
          <w:strike/>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9A208A">
        <w:rPr>
          <w:u w:color="000000" w:themeColor="text1"/>
        </w:rPr>
        <w:t xml:space="preserve">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(3)</w:t>
      </w:r>
      <w:r w:rsidRPr="009A208A">
        <w:rPr>
          <w:u w:val="single"/>
        </w:rPr>
        <w:t>(2)</w:t>
      </w:r>
      <w:r w:rsidRPr="009A208A">
        <w:rPr>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(4)</w:t>
      </w:r>
      <w:r w:rsidRPr="009A208A">
        <w:rPr>
          <w:u w:val="single"/>
        </w:rPr>
        <w:t>(3)</w:t>
      </w:r>
      <w:r w:rsidRPr="009A208A">
        <w:rPr>
          <w:u w:color="000000" w:themeColor="text1"/>
        </w:rPr>
        <w:tab/>
        <w:t xml:space="preserve">Following completion of the training and certification program required in item (1), each board member, and each staff person designated by the board or commission, must take at least one training course each year.”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4.</w:t>
      </w:r>
      <w:r w:rsidRPr="009A208A">
        <w:rPr>
          <w:u w:color="000000" w:themeColor="text1"/>
        </w:rPr>
        <w:tab/>
        <w:t>Section 7-5-20 of the 1976 Code is amended 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7-5-20.</w:t>
      </w:r>
      <w:r w:rsidRPr="009A208A">
        <w:rPr>
          <w:u w:color="000000" w:themeColor="text1"/>
        </w:rPr>
        <w:tab/>
        <w:t xml:space="preserve">The board of </w:t>
      </w:r>
      <w:r w:rsidRPr="009A208A">
        <w:rPr>
          <w:u w:val="single"/>
        </w:rPr>
        <w:t>voter</w:t>
      </w:r>
      <w:r w:rsidRPr="009A208A">
        <w:rPr>
          <w:u w:color="000000" w:themeColor="text1"/>
        </w:rPr>
        <w:t xml:space="preserve"> registration </w:t>
      </w:r>
      <w:r w:rsidRPr="009A208A">
        <w:rPr>
          <w:u w:val="single"/>
        </w:rPr>
        <w:t>and elections</w:t>
      </w:r>
      <w:r w:rsidRPr="009A208A">
        <w:rPr>
          <w:u w:color="000000" w:themeColor="text1"/>
        </w:rPr>
        <w:t xml:space="preserve"> of each county may appoint deputy members of the board, in numbers as may be necessary, whose terms shall be for a period of time as determined by the boards.  The deputy members shall have the same powers and duties as regular members of the board.  The </w:t>
      </w:r>
      <w:r w:rsidRPr="009A208A">
        <w:rPr>
          <w:u w:color="000000" w:themeColor="text1"/>
        </w:rPr>
        <w:lastRenderedPageBreak/>
        <w:t xml:space="preserve">clerk to each board may be made a deputy member of the board for the purpose of taking applications.”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5.</w:t>
      </w:r>
      <w:r w:rsidRPr="009A208A">
        <w:rPr>
          <w:u w:color="000000" w:themeColor="text1"/>
        </w:rPr>
        <w:tab/>
        <w:t>Section 7-5-30 of the 1976 Code is amended 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7-5-30.</w:t>
      </w:r>
      <w:r w:rsidRPr="009A208A">
        <w:rPr>
          <w:u w:color="000000" w:themeColor="text1"/>
        </w:rPr>
        <w:tab/>
        <w:t xml:space="preserve">Such boards shall register and conduct the registration of the electors who shall apply for registration in their respective counties as herein required.  Their office shall be at the county seat, and they shall keep a record of all their official acts and proceedings.  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One member of the board shall constitute a quorum for the purpose of registering or refusing to register applications for registration.  </w:t>
      </w:r>
      <w:r w:rsidRPr="009A208A">
        <w:rPr>
          <w:strike/>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9A208A">
        <w:rPr>
          <w:strike/>
          <w:u w:color="000000" w:themeColor="text1"/>
        </w:rPr>
        <w:noBreakHyphen/>
        <w:t>5</w:t>
      </w:r>
      <w:r w:rsidRPr="009A208A">
        <w:rPr>
          <w:strike/>
          <w:u w:color="000000" w:themeColor="text1"/>
        </w:rPr>
        <w:noBreakHyphen/>
        <w:t>10.</w:t>
      </w:r>
      <w:r w:rsidRPr="009A208A">
        <w:rPr>
          <w:u w:color="000000" w:themeColor="text1"/>
        </w:rPr>
        <w:t xml:space="preserve">”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6.</w:t>
      </w:r>
      <w:r>
        <w:rPr>
          <w:u w:color="000000" w:themeColor="text1"/>
        </w:rPr>
        <w:tab/>
      </w:r>
      <w:r w:rsidRPr="009A208A">
        <w:rPr>
          <w:u w:color="000000" w:themeColor="text1"/>
        </w:rPr>
        <w:t>Section 7-11-30 of the 1976 Code, as last amended by Act 61 of 2013, is further amended 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w:t>
      </w:r>
      <w:r w:rsidRPr="009A208A">
        <w:rPr>
          <w:u w:color="000000" w:themeColor="text1"/>
        </w:rPr>
        <w:noBreakHyphen/>
        <w:t>11</w:t>
      </w:r>
      <w:r w:rsidRPr="009A208A">
        <w:rPr>
          <w:u w:color="000000" w:themeColor="text1"/>
        </w:rPr>
        <w:noBreakHyphen/>
        <w:t>30.</w:t>
      </w:r>
      <w:r w:rsidRPr="009A208A">
        <w:rPr>
          <w:u w:color="000000" w:themeColor="text1"/>
        </w:rPr>
        <w:tab/>
        <w:t>(A)</w:t>
      </w:r>
      <w:r w:rsidRPr="009A208A">
        <w:rPr>
          <w:u w:color="000000" w:themeColor="text1"/>
        </w:rPr>
        <w:tab/>
        <w:t xml:space="preserve">A party may choose </w:t>
      </w:r>
      <w:r w:rsidRPr="009A208A">
        <w:rPr>
          <w:u w:val="single" w:color="000000" w:themeColor="text1"/>
        </w:rPr>
        <w:t>to change from nomination of candidates by primary to a method</w:t>
      </w:r>
      <w:r w:rsidRPr="009A208A">
        <w:rPr>
          <w:u w:color="000000" w:themeColor="text1"/>
        </w:rPr>
        <w:t xml:space="preserve"> to nominate candidates </w:t>
      </w:r>
      <w:r w:rsidRPr="009A208A">
        <w:rPr>
          <w:u w:val="single" w:color="000000" w:themeColor="text1"/>
        </w:rPr>
        <w:t>by convention</w:t>
      </w:r>
      <w:r w:rsidRPr="009A208A">
        <w:rPr>
          <w:u w:color="000000" w:themeColor="text1"/>
        </w:rPr>
        <w:t xml:space="preserve"> for all offices including, but not limited to, Governor, Lieutenant Governor, United States Senator, United States House of Representatives, Circuit Solicitor, State Senator, and members of the State House of Representatives if:</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t>(1)</w:t>
      </w:r>
      <w:r w:rsidRPr="009A208A">
        <w:rPr>
          <w:u w:color="000000" w:themeColor="text1"/>
        </w:rPr>
        <w:tab/>
        <w:t>there is a three</w:t>
      </w:r>
      <w:r w:rsidRPr="009A208A">
        <w:rPr>
          <w:u w:color="000000" w:themeColor="text1"/>
        </w:rPr>
        <w:noBreakHyphen/>
        <w:t>fourths vote of the total membership of the convention to use the convention nomination process; and</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t>(2)</w:t>
      </w:r>
      <w:r w:rsidRPr="009A208A">
        <w:rPr>
          <w:u w:color="000000" w:themeColor="text1"/>
        </w:rPr>
        <w:tab/>
        <w:t>a majority of voters in that party’s next primary election approve the use of the convention nomination process.</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(B)</w:t>
      </w:r>
      <w:r w:rsidRPr="009A208A">
        <w:rPr>
          <w:u w:color="000000" w:themeColor="text1"/>
        </w:rPr>
        <w:tab/>
        <w:t>A party may not choose to nominate by party convention for an election cycle in which the filing period for candidates has begun.</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(C)</w:t>
      </w:r>
      <w:r w:rsidRPr="009A208A">
        <w:rPr>
          <w:u w:color="000000" w:themeColor="text1"/>
        </w:rPr>
        <w:tab/>
        <w:t xml:space="preserve">A political party nominating candidates by party convention shall nominate the party candidates and make the </w:t>
      </w:r>
      <w:r w:rsidRPr="009A208A">
        <w:rPr>
          <w:u w:color="000000" w:themeColor="text1"/>
        </w:rPr>
        <w:lastRenderedPageBreak/>
        <w:t>nominations public not later than the time for certifying candidates to the authority charged by law with preparing ballots for the general or special election.</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val="single"/>
        </w:rPr>
        <w:t>(D)</w:t>
      </w:r>
      <w:r w:rsidRPr="009A208A">
        <w:rPr>
          <w:u w:color="000000" w:themeColor="text1"/>
        </w:rPr>
        <w:tab/>
      </w:r>
      <w:r w:rsidRPr="009A208A">
        <w:rPr>
          <w:u w:val="single"/>
        </w:rPr>
        <w:t>Nothing in this section requires a political party that has nominated candidates by convention in the previous election cycle to hold a primary in order to continue using the convention method to nominate candidates.</w:t>
      </w:r>
      <w:r w:rsidRPr="009A208A">
        <w:rPr>
          <w:u w:color="000000" w:themeColor="text1"/>
        </w:rPr>
        <w:t>”</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7.</w:t>
      </w:r>
      <w:r w:rsidRPr="009A208A">
        <w:rPr>
          <w:u w:color="000000" w:themeColor="text1"/>
        </w:rPr>
        <w:tab/>
        <w:t>Section 7-5-35, Section 7-13-70, and Chapter 27, Title 7 of the 1976 Code are repealed.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r>
      <w:r w:rsidR="00A1597C">
        <w:rPr>
          <w:u w:color="000000" w:themeColor="text1"/>
        </w:rPr>
        <w:t>8</w:t>
      </w:r>
      <w:r w:rsidRPr="009A208A">
        <w:rPr>
          <w:u w:color="000000" w:themeColor="text1"/>
        </w:rPr>
        <w:t>.</w:t>
      </w:r>
      <w:r w:rsidRPr="009A208A">
        <w:rPr>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52620" w:rsidRPr="009A208A" w:rsidRDefault="00A1597C"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w:t>
      </w:r>
      <w:r w:rsidR="00452620" w:rsidRPr="009A208A">
        <w:t>.</w:t>
      </w:r>
      <w:r w:rsidR="00452620" w:rsidRPr="009A208A">
        <w:tab/>
      </w:r>
      <w:r w:rsidR="00452620" w:rsidRPr="009A208A">
        <w:rPr>
          <w:u w:color="000000" w:themeColor="text1"/>
        </w:rPr>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2620" w:rsidRPr="00DC0249"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C0249">
        <w:t>SECTION</w:t>
      </w:r>
      <w:r w:rsidRPr="00DC0249">
        <w:tab/>
      </w:r>
      <w:r>
        <w:t>1</w:t>
      </w:r>
      <w:r w:rsidR="00A1597C">
        <w:t>0</w:t>
      </w:r>
      <w:r w:rsidRPr="00DC0249">
        <w:t>.</w:t>
      </w:r>
      <w:r w:rsidRPr="00DC0249">
        <w:tab/>
        <w:t>Section 7</w:t>
      </w:r>
      <w:r w:rsidRPr="00DC0249">
        <w:noBreakHyphen/>
        <w:t>3</w:t>
      </w:r>
      <w:r w:rsidRPr="00DC0249">
        <w:noBreakHyphen/>
        <w:t xml:space="preserve">20(C) of the 1976 Code, as last amended by Act 265 of 2012, is further amended by adding an appropriately numbered item at the end </w:t>
      </w:r>
      <w:bookmarkStart w:id="4" w:name="temp"/>
      <w:bookmarkEnd w:id="4"/>
      <w:r w:rsidRPr="00DC0249">
        <w:t>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2620" w:rsidRDefault="00A1597C"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A39C7">
        <w:rPr>
          <w:bCs/>
        </w:rPr>
        <w:tab/>
        <w:t>"(__)</w:t>
      </w:r>
      <w:r>
        <w:rPr>
          <w:bCs/>
        </w:rPr>
        <w:tab/>
      </w:r>
      <w:r w:rsidRPr="00AA39C7">
        <w:rPr>
          <w:iCs/>
          <w:u w:val="single"/>
        </w:rPr>
        <w:t>The State Election Commission shall publish on the commission's website each change to voting procedures enacted by state or local governments.  State and local governments shall file notice of all changes in voting procedures</w:t>
      </w:r>
      <w:r w:rsidRPr="00AA39C7">
        <w:rPr>
          <w:bCs/>
          <w:iCs/>
          <w:u w:val="single"/>
        </w:rPr>
        <w:t xml:space="preserve">, </w:t>
      </w:r>
      <w:r w:rsidRPr="00AA39C7">
        <w:rPr>
          <w:iCs/>
          <w:u w:val="single"/>
        </w:rPr>
        <w:t xml:space="preserve">including but not limited to, changes to precincts with the State Election Commission within five days after adoption of the change or thirty-five days prior to the implementation, whichever is earlier.  All voting procedure changes must remain on the commission's website at least through the date of the next general election.  </w:t>
      </w:r>
      <w:r w:rsidRPr="00AA39C7">
        <w:rPr>
          <w:iCs/>
          <w:u w:val="single"/>
        </w:rPr>
        <w:lastRenderedPageBreak/>
        <w:t>However, if changes are made within three months prior to the next general election, then the changes shall remain on the commission’s website through the date of the following general election.</w:t>
      </w:r>
      <w:r w:rsidRPr="00AA39C7">
        <w:rPr>
          <w:iCs/>
        </w:rPr>
        <w:t>"</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208A">
        <w:t>SECTION</w:t>
      </w:r>
      <w:r w:rsidRPr="009A208A">
        <w:tab/>
        <w:t>1</w:t>
      </w:r>
      <w:r w:rsidR="00A1597C">
        <w:t>1</w:t>
      </w:r>
      <w:r w:rsidRPr="009A208A">
        <w:t>.</w:t>
      </w:r>
      <w:r w:rsidRPr="009A208A">
        <w:tab/>
        <w:t xml:space="preserve">This act takes effect upon approval by the Governor. </w:t>
      </w:r>
    </w:p>
    <w:p w:rsidR="003F5C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5CF9" w:rsidRDefault="003F5CF9" w:rsidP="0020399A">
      <w:pPr>
        <w:suppressAutoHyphens/>
        <w:jc w:val="both"/>
        <w:rPr>
          <w:rFonts w:eastAsia="Times New Roman"/>
        </w:rPr>
      </w:pPr>
    </w:p>
    <w:sectPr w:rsidR="003F5CF9" w:rsidSect="003E0A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F7C" w:rsidRDefault="00C87F7C" w:rsidP="00522CE0">
      <w:r>
        <w:separator/>
      </w:r>
    </w:p>
  </w:endnote>
  <w:endnote w:type="continuationSeparator" w:id="0">
    <w:p w:rsidR="00C87F7C" w:rsidRDefault="00C87F7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31C5CF-C1BB-4E40-974D-54EF7E1CAACE}"/>
    <w:embedBold r:id="rId2" w:fontKey="{9916C57E-26FF-4764-8FB0-CF62E67D9826}"/>
    <w:embedItalic r:id="rId3" w:fontKey="{C3F017FA-1D4D-4E32-B53D-3784820BCD32}"/>
    <w:embedBoldItalic r:id="rId4" w:fontKey="{32DAB16C-B375-4553-9677-1504DA81BBEB}"/>
  </w:font>
  <w:font w:name="Calibri">
    <w:panose1 w:val="020F0502020204030204"/>
    <w:charset w:val="00"/>
    <w:family w:val="swiss"/>
    <w:pitch w:val="variable"/>
    <w:sig w:usb0="E10002FF" w:usb1="4000ACFF" w:usb2="00000009" w:usb3="00000000" w:csb0="0000019F" w:csb1="00000000"/>
    <w:embedRegular r:id="rId5" w:fontKey="{D3D4438B-0DB5-47BE-881A-3D981DF735AD}"/>
  </w:font>
  <w:font w:name="Cambria">
    <w:panose1 w:val="02040503050406030204"/>
    <w:charset w:val="00"/>
    <w:family w:val="roman"/>
    <w:pitch w:val="variable"/>
    <w:sig w:usb0="E00002FF" w:usb1="400004FF" w:usb2="00000000" w:usb3="00000000" w:csb0="0000019F" w:csb1="00000000"/>
    <w:embedRegular r:id="rId6" w:fontKey="{2436973F-49AA-4521-B771-87D9238273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DCC" w:rsidRPr="003F5CF9" w:rsidRDefault="003F5CF9" w:rsidP="003F5CF9">
    <w:pPr>
      <w:pStyle w:val="Footer"/>
      <w:tabs>
        <w:tab w:val="clear" w:pos="4680"/>
        <w:tab w:val="clear" w:pos="9360"/>
        <w:tab w:val="center" w:pos="2995"/>
      </w:tabs>
      <w:spacing w:before="120"/>
    </w:pPr>
    <w:r>
      <w:t>[815</w:t>
    </w:r>
    <w:r w:rsidR="003E0ABB">
      <w:t>-</w:t>
    </w:r>
    <w:fldSimple w:instr=" PAGE  \* MERGEFORMAT ">
      <w:r w:rsidR="0020399A">
        <w:rPr>
          <w:noProof/>
        </w:rPr>
        <w:t>1</w:t>
      </w:r>
    </w:fldSimple>
    <w:r w:rsidR="003E0A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ABB" w:rsidRPr="003F5CF9" w:rsidRDefault="003E0ABB" w:rsidP="003F5CF9">
    <w:pPr>
      <w:pStyle w:val="Footer"/>
      <w:tabs>
        <w:tab w:val="clear" w:pos="4680"/>
        <w:tab w:val="clear" w:pos="9360"/>
        <w:tab w:val="center" w:pos="2995"/>
      </w:tabs>
      <w:spacing w:before="120"/>
    </w:pPr>
    <w:r>
      <w:t>[815]</w:t>
    </w:r>
    <w:r>
      <w:tab/>
    </w:r>
    <w:fldSimple w:instr=" PAGE  \* MERGEFORMAT ">
      <w:r w:rsidR="002039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F7C" w:rsidRDefault="00C87F7C" w:rsidP="00522CE0">
      <w:r>
        <w:separator/>
      </w:r>
    </w:p>
  </w:footnote>
  <w:footnote w:type="continuationSeparator" w:id="0">
    <w:p w:rsidR="00C87F7C" w:rsidRDefault="00C87F7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85.HLA"/>
    <w:docVar w:name="CoverAttorneyInitials" w:val="HLA"/>
    <w:docVar w:name="CoverAttorneyLastName" w:val="Anderson"/>
    <w:docVar w:name="CoverBillType" w:val="b"/>
    <w:docVar w:name="DraftFileName" w:val="JUD0085.HLA.DOCX"/>
    <w:docVar w:name="DraftStenoName" w:val="Craft"/>
    <w:docVar w:name="dvBillNumber" w:val="815"/>
    <w:docVar w:name="dvBillNumberPrefix" w:val="S. "/>
    <w:docVar w:name="dvOriginalBody" w:val="Senate"/>
    <w:docVar w:name="fulldraftpath" w:val="L:\S-JUD\BILLS\L. Martin\JUD0085.HLA.DOCX"/>
    <w:docVar w:name="NameofBody" w:val="S"/>
    <w:docVar w:name="SenatorFolderName" w:val="L. Martin"/>
    <w:docVar w:name="VGROUP2" w:val="S-JUD"/>
  </w:docVars>
  <w:rsids>
    <w:rsidRoot w:val="00645428"/>
    <w:rsid w:val="000141EB"/>
    <w:rsid w:val="00042AC1"/>
    <w:rsid w:val="00046516"/>
    <w:rsid w:val="00096343"/>
    <w:rsid w:val="000A4D08"/>
    <w:rsid w:val="000A6988"/>
    <w:rsid w:val="000B0720"/>
    <w:rsid w:val="000B09DC"/>
    <w:rsid w:val="000B5EAF"/>
    <w:rsid w:val="000E473B"/>
    <w:rsid w:val="000F002B"/>
    <w:rsid w:val="00107C3D"/>
    <w:rsid w:val="00126995"/>
    <w:rsid w:val="00136F60"/>
    <w:rsid w:val="0016543B"/>
    <w:rsid w:val="00170561"/>
    <w:rsid w:val="00186AC9"/>
    <w:rsid w:val="00190F47"/>
    <w:rsid w:val="00197DF1"/>
    <w:rsid w:val="001B3DD9"/>
    <w:rsid w:val="001C23C9"/>
    <w:rsid w:val="001D0348"/>
    <w:rsid w:val="001D3BAC"/>
    <w:rsid w:val="0020399A"/>
    <w:rsid w:val="00206D3D"/>
    <w:rsid w:val="00221A5C"/>
    <w:rsid w:val="0022374F"/>
    <w:rsid w:val="002274C5"/>
    <w:rsid w:val="0024519E"/>
    <w:rsid w:val="00245C4E"/>
    <w:rsid w:val="002C5896"/>
    <w:rsid w:val="00307C2B"/>
    <w:rsid w:val="0031409E"/>
    <w:rsid w:val="0032109A"/>
    <w:rsid w:val="00333DF1"/>
    <w:rsid w:val="0033541C"/>
    <w:rsid w:val="00364389"/>
    <w:rsid w:val="003D6A5D"/>
    <w:rsid w:val="003D6E2B"/>
    <w:rsid w:val="003E02F1"/>
    <w:rsid w:val="003E0ABB"/>
    <w:rsid w:val="003E7597"/>
    <w:rsid w:val="003F5CF9"/>
    <w:rsid w:val="00412C9E"/>
    <w:rsid w:val="0042257B"/>
    <w:rsid w:val="00450668"/>
    <w:rsid w:val="00452620"/>
    <w:rsid w:val="00452CD7"/>
    <w:rsid w:val="004675C9"/>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0B63"/>
    <w:rsid w:val="005A5017"/>
    <w:rsid w:val="005A648C"/>
    <w:rsid w:val="005D30B3"/>
    <w:rsid w:val="005F15E4"/>
    <w:rsid w:val="00600221"/>
    <w:rsid w:val="00606D23"/>
    <w:rsid w:val="00641A16"/>
    <w:rsid w:val="006431BA"/>
    <w:rsid w:val="00645428"/>
    <w:rsid w:val="006B4B3C"/>
    <w:rsid w:val="006C74EA"/>
    <w:rsid w:val="00720D40"/>
    <w:rsid w:val="0073026D"/>
    <w:rsid w:val="007311B4"/>
    <w:rsid w:val="007318D4"/>
    <w:rsid w:val="00746551"/>
    <w:rsid w:val="007468D7"/>
    <w:rsid w:val="00765784"/>
    <w:rsid w:val="007A4390"/>
    <w:rsid w:val="007A7646"/>
    <w:rsid w:val="007C65B0"/>
    <w:rsid w:val="007D48DF"/>
    <w:rsid w:val="007E0DCC"/>
    <w:rsid w:val="007E3B8F"/>
    <w:rsid w:val="007E5B53"/>
    <w:rsid w:val="007E5CB7"/>
    <w:rsid w:val="00814EED"/>
    <w:rsid w:val="008314D2"/>
    <w:rsid w:val="008804AE"/>
    <w:rsid w:val="008841DF"/>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E0D55"/>
    <w:rsid w:val="00A02011"/>
    <w:rsid w:val="00A1597C"/>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1198C"/>
    <w:rsid w:val="00C23348"/>
    <w:rsid w:val="00C6454A"/>
    <w:rsid w:val="00C74052"/>
    <w:rsid w:val="00C87F7C"/>
    <w:rsid w:val="00C96024"/>
    <w:rsid w:val="00CB187A"/>
    <w:rsid w:val="00CD7C71"/>
    <w:rsid w:val="00D1088B"/>
    <w:rsid w:val="00D11918"/>
    <w:rsid w:val="00D156D2"/>
    <w:rsid w:val="00D77EC0"/>
    <w:rsid w:val="00D85604"/>
    <w:rsid w:val="00D86943"/>
    <w:rsid w:val="00DA47B9"/>
    <w:rsid w:val="00E211A4"/>
    <w:rsid w:val="00E677A1"/>
    <w:rsid w:val="00E91E2F"/>
    <w:rsid w:val="00EA3546"/>
    <w:rsid w:val="00EB1AAC"/>
    <w:rsid w:val="00EB47AE"/>
    <w:rsid w:val="00EC34E1"/>
    <w:rsid w:val="00ED0AE1"/>
    <w:rsid w:val="00F0234A"/>
    <w:rsid w:val="00F52959"/>
    <w:rsid w:val="00F532D4"/>
    <w:rsid w:val="00F55884"/>
    <w:rsid w:val="00F67F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AA889-4337-4852-89B8-7D4E6EEC4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2765</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2014-05-27T19:06:00Z</cp:lastPrinted>
  <dcterms:created xsi:type="dcterms:W3CDTF">2014-05-27T19:24:00Z</dcterms:created>
  <dcterms:modified xsi:type="dcterms:W3CDTF">2014-05-27T19:24:00Z</dcterms:modified>
</cp:coreProperties>
</file>