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2E8" w:rsidRDefault="00BD42E8" w:rsidP="00BD42E8">
      <w:pPr>
        <w:widowControl w:val="0"/>
        <w:jc w:val="center"/>
      </w:pPr>
      <w:r w:rsidRPr="00BD42E8">
        <w:rPr>
          <w:b/>
        </w:rPr>
        <w:t>South Carolina General Assembly</w:t>
      </w:r>
    </w:p>
    <w:p w:rsidR="00BD42E8" w:rsidRDefault="00BD42E8" w:rsidP="00BD42E8">
      <w:pPr>
        <w:widowControl w:val="0"/>
        <w:jc w:val="center"/>
      </w:pPr>
      <w:r>
        <w:t>121st Session, 2015-2016</w:t>
      </w:r>
    </w:p>
    <w:p w:rsidR="00BD42E8" w:rsidRDefault="00BD42E8" w:rsidP="00BD42E8">
      <w:pPr>
        <w:widowControl w:val="0"/>
      </w:pPr>
    </w:p>
    <w:p w:rsidR="00BD42E8" w:rsidRDefault="00BD42E8" w:rsidP="00BD42E8">
      <w:pPr>
        <w:widowControl w:val="0"/>
        <w:rPr>
          <w:b/>
        </w:rPr>
      </w:pPr>
      <w:r w:rsidRPr="00BD42E8">
        <w:rPr>
          <w:b/>
        </w:rPr>
        <w:t>S.</w:t>
      </w:r>
      <w:r>
        <w:rPr>
          <w:b/>
        </w:rPr>
        <w:t xml:space="preserve"> </w:t>
      </w:r>
      <w:r w:rsidRPr="00BD42E8">
        <w:rPr>
          <w:b/>
        </w:rPr>
        <w:t>118</w:t>
      </w:r>
    </w:p>
    <w:p w:rsidR="00BD42E8" w:rsidRDefault="00BD42E8" w:rsidP="00BD42E8">
      <w:pPr>
        <w:widowControl w:val="0"/>
        <w:rPr>
          <w:b/>
        </w:rPr>
      </w:pPr>
    </w:p>
    <w:p w:rsidR="00BD42E8" w:rsidRDefault="00BD42E8" w:rsidP="00BD42E8">
      <w:pPr>
        <w:widowControl w:val="0"/>
      </w:pPr>
      <w:r w:rsidRPr="00BD42E8">
        <w:rPr>
          <w:b/>
        </w:rPr>
        <w:t>STATUS INFORMATION</w:t>
      </w:r>
    </w:p>
    <w:p w:rsidR="00BD42E8" w:rsidRDefault="00BD42E8" w:rsidP="00BD42E8">
      <w:pPr>
        <w:widowControl w:val="0"/>
      </w:pPr>
    </w:p>
    <w:p w:rsidR="00BD42E8" w:rsidRDefault="00BD42E8" w:rsidP="00BD42E8">
      <w:pPr>
        <w:widowControl w:val="0"/>
      </w:pPr>
      <w:r>
        <w:t>General Bill</w:t>
      </w:r>
    </w:p>
    <w:p w:rsidR="00BD42E8" w:rsidRDefault="00FC022D" w:rsidP="00BD42E8">
      <w:pPr>
        <w:widowControl w:val="0"/>
      </w:pPr>
      <w:r>
        <w:t>Sponsors: Senators Bright, Grooms and Bryant</w:t>
      </w:r>
    </w:p>
    <w:p w:rsidR="00BD42E8" w:rsidRDefault="00BD42E8" w:rsidP="00BD42E8">
      <w:pPr>
        <w:widowControl w:val="0"/>
      </w:pPr>
      <w:r>
        <w:t>Document Path: l:\s-res\lb\044prop.ls.lb.docx</w:t>
      </w:r>
    </w:p>
    <w:p w:rsidR="00BD42E8" w:rsidRDefault="00BD42E8" w:rsidP="00BD42E8">
      <w:pPr>
        <w:widowControl w:val="0"/>
      </w:pPr>
    </w:p>
    <w:p w:rsidR="00CC4CE2" w:rsidRDefault="00CC4CE2" w:rsidP="00BD42E8">
      <w:pPr>
        <w:widowControl w:val="0"/>
      </w:pPr>
      <w:r>
        <w:t>Introduced in the Senate on January 13, 2015</w:t>
      </w:r>
    </w:p>
    <w:p w:rsidR="00CC4CE2" w:rsidRPr="00CC4CE2" w:rsidRDefault="00CC4CE2" w:rsidP="00BD42E8">
      <w:pPr>
        <w:widowControl w:val="0"/>
      </w:pPr>
      <w:r>
        <w:t xml:space="preserve">Currently residing in the Senate Committee on </w:t>
      </w:r>
      <w:r w:rsidRPr="00CC4CE2">
        <w:rPr>
          <w:b/>
        </w:rPr>
        <w:t>Finance</w:t>
      </w:r>
    </w:p>
    <w:p w:rsidR="00CC4CE2" w:rsidRDefault="00CC4CE2" w:rsidP="00BD42E8">
      <w:pPr>
        <w:widowControl w:val="0"/>
      </w:pPr>
    </w:p>
    <w:p w:rsidR="00BD42E8" w:rsidRDefault="00BD42E8" w:rsidP="00BD42E8">
      <w:pPr>
        <w:widowControl w:val="0"/>
      </w:pPr>
      <w:r>
        <w:t xml:space="preserve">Summary: </w:t>
      </w:r>
      <w:r w:rsidR="007E4BDD">
        <w:t>Property tax assessment ratios</w:t>
      </w:r>
    </w:p>
    <w:p w:rsidR="00BD42E8" w:rsidRDefault="00BD42E8" w:rsidP="00BD42E8">
      <w:pPr>
        <w:widowControl w:val="0"/>
      </w:pPr>
    </w:p>
    <w:p w:rsidR="00BD42E8" w:rsidRDefault="00BD42E8" w:rsidP="00BD42E8">
      <w:pPr>
        <w:widowControl w:val="0"/>
      </w:pPr>
    </w:p>
    <w:p w:rsidR="00BD42E8" w:rsidRDefault="00BD42E8" w:rsidP="00BD42E8">
      <w:pPr>
        <w:widowControl w:val="0"/>
        <w:tabs>
          <w:tab w:val="center" w:pos="590"/>
          <w:tab w:val="center" w:pos="1440"/>
          <w:tab w:val="left" w:pos="1872"/>
          <w:tab w:val="left" w:pos="9187"/>
        </w:tabs>
      </w:pPr>
      <w:r w:rsidRPr="00BD42E8">
        <w:rPr>
          <w:b/>
        </w:rPr>
        <w:t>HISTORY OF LEGISLATIVE ACTIONS</w:t>
      </w:r>
    </w:p>
    <w:p w:rsidR="00BD42E8" w:rsidRDefault="00BD42E8" w:rsidP="00BD42E8">
      <w:pPr>
        <w:widowControl w:val="0"/>
        <w:tabs>
          <w:tab w:val="center" w:pos="590"/>
          <w:tab w:val="center" w:pos="1440"/>
          <w:tab w:val="left" w:pos="1872"/>
          <w:tab w:val="left" w:pos="9187"/>
        </w:tabs>
      </w:pPr>
    </w:p>
    <w:p w:rsidR="00BD42E8" w:rsidRPr="00BD42E8" w:rsidRDefault="00BD42E8" w:rsidP="00BD42E8">
      <w:pPr>
        <w:widowControl w:val="0"/>
        <w:tabs>
          <w:tab w:val="center" w:pos="590"/>
          <w:tab w:val="center" w:pos="1440"/>
          <w:tab w:val="left" w:pos="1872"/>
          <w:tab w:val="left" w:pos="9187"/>
        </w:tabs>
      </w:pPr>
      <w:r w:rsidRPr="00BD42E8">
        <w:rPr>
          <w:u w:val="single"/>
        </w:rPr>
        <w:tab/>
        <w:t>Date</w:t>
      </w:r>
      <w:r w:rsidRPr="00BD42E8">
        <w:rPr>
          <w:u w:val="single"/>
        </w:rPr>
        <w:tab/>
        <w:t>Body</w:t>
      </w:r>
      <w:r w:rsidRPr="00BD42E8">
        <w:rPr>
          <w:u w:val="single"/>
        </w:rPr>
        <w:tab/>
        <w:t>Action Description with journal page number</w:t>
      </w:r>
      <w:r w:rsidRPr="00BD42E8">
        <w:rPr>
          <w:u w:val="single"/>
        </w:rPr>
        <w:tab/>
      </w:r>
    </w:p>
    <w:p w:rsidR="00CC4CE2" w:rsidRDefault="00CC4CE2" w:rsidP="00CC4CE2">
      <w:pPr>
        <w:widowControl w:val="0"/>
        <w:tabs>
          <w:tab w:val="right" w:pos="1008"/>
          <w:tab w:val="left" w:pos="1152"/>
          <w:tab w:val="left" w:pos="1872"/>
          <w:tab w:val="left" w:pos="9187"/>
        </w:tabs>
        <w:ind w:left="2088" w:hanging="2088"/>
      </w:pPr>
      <w:r>
        <w:tab/>
        <w:t>12/3/2014</w:t>
      </w:r>
      <w:r>
        <w:tab/>
        <w:t>Senate</w:t>
      </w:r>
      <w:r>
        <w:tab/>
      </w:r>
      <w:r w:rsidRPr="00D66B37">
        <w:t>Prefiled</w:t>
      </w:r>
    </w:p>
    <w:p w:rsidR="00CC4CE2" w:rsidRDefault="00CC4CE2" w:rsidP="00CC4CE2">
      <w:pPr>
        <w:widowControl w:val="0"/>
        <w:tabs>
          <w:tab w:val="right" w:pos="1008"/>
          <w:tab w:val="left" w:pos="1152"/>
          <w:tab w:val="left" w:pos="1872"/>
          <w:tab w:val="left" w:pos="9187"/>
        </w:tabs>
        <w:ind w:left="2088" w:hanging="2088"/>
      </w:pPr>
      <w:r>
        <w:tab/>
        <w:t>12/3/2014</w:t>
      </w:r>
      <w:r>
        <w:tab/>
        <w:t>Senate</w:t>
      </w:r>
      <w:r>
        <w:tab/>
      </w:r>
      <w:r w:rsidRPr="00D66B37">
        <w:t xml:space="preserve">Referred to Committee on </w:t>
      </w:r>
      <w:r w:rsidRPr="00D66B37">
        <w:rPr>
          <w:b/>
        </w:rPr>
        <w:t>Finance</w:t>
      </w:r>
    </w:p>
    <w:p w:rsidR="00CC4CE2" w:rsidRDefault="00CC4CE2" w:rsidP="00CC4CE2">
      <w:pPr>
        <w:widowControl w:val="0"/>
        <w:tabs>
          <w:tab w:val="right" w:pos="1008"/>
          <w:tab w:val="left" w:pos="1152"/>
          <w:tab w:val="left" w:pos="1872"/>
          <w:tab w:val="left" w:pos="9187"/>
        </w:tabs>
        <w:ind w:left="2088" w:hanging="2088"/>
      </w:pPr>
      <w:r>
        <w:tab/>
        <w:t>1/13/2015</w:t>
      </w:r>
      <w:r>
        <w:tab/>
        <w:t>Senate</w:t>
      </w:r>
      <w:r>
        <w:tab/>
      </w:r>
      <w:r w:rsidRPr="00D66B37">
        <w:t>Introduced and read first time</w:t>
      </w:r>
    </w:p>
    <w:p w:rsidR="00CC4CE2" w:rsidRDefault="00CC4CE2" w:rsidP="00CC4CE2">
      <w:pPr>
        <w:widowControl w:val="0"/>
        <w:tabs>
          <w:tab w:val="right" w:pos="1008"/>
          <w:tab w:val="left" w:pos="1152"/>
          <w:tab w:val="left" w:pos="1872"/>
          <w:tab w:val="left" w:pos="9187"/>
        </w:tabs>
        <w:ind w:left="2088" w:hanging="2088"/>
        <w:rPr>
          <w:b/>
        </w:rPr>
      </w:pPr>
      <w:r>
        <w:tab/>
        <w:t>1/13/2015</w:t>
      </w:r>
      <w:r>
        <w:tab/>
        <w:t>Senate</w:t>
      </w:r>
      <w:r>
        <w:tab/>
      </w:r>
      <w:r w:rsidRPr="00D66B37">
        <w:t xml:space="preserve">Referred to Committee on </w:t>
      </w:r>
      <w:r w:rsidRPr="00D66B37">
        <w:rPr>
          <w:b/>
        </w:rPr>
        <w:t>Finance</w:t>
      </w:r>
    </w:p>
    <w:p w:rsidR="00CC4CE2" w:rsidRDefault="00CC4CE2" w:rsidP="00CC4CE2">
      <w:pPr>
        <w:widowControl w:val="0"/>
        <w:tabs>
          <w:tab w:val="right" w:pos="1008"/>
          <w:tab w:val="left" w:pos="1152"/>
          <w:tab w:val="left" w:pos="1872"/>
          <w:tab w:val="left" w:pos="9187"/>
        </w:tabs>
        <w:ind w:left="2088" w:hanging="2088"/>
      </w:pPr>
    </w:p>
    <w:p w:rsidR="00BD42E8" w:rsidRDefault="00BD42E8" w:rsidP="00BD42E8">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BD42E8">
          <w:rPr>
            <w:rStyle w:val="Hyperlink"/>
          </w:rPr>
          <w:t>legislative information</w:t>
        </w:r>
      </w:hyperlink>
      <w:r>
        <w:t xml:space="preserve"> at the website</w:t>
      </w:r>
    </w:p>
    <w:p w:rsidR="00BD42E8" w:rsidRDefault="00BD42E8" w:rsidP="00BD42E8">
      <w:pPr>
        <w:widowControl w:val="0"/>
        <w:tabs>
          <w:tab w:val="right" w:pos="1008"/>
          <w:tab w:val="left" w:pos="1152"/>
          <w:tab w:val="left" w:pos="1872"/>
          <w:tab w:val="left" w:pos="9187"/>
        </w:tabs>
        <w:ind w:left="2088" w:hanging="2088"/>
      </w:pPr>
    </w:p>
    <w:p w:rsidR="00BD42E8" w:rsidRPr="00BD42E8" w:rsidRDefault="00BD42E8" w:rsidP="00BD42E8">
      <w:pPr>
        <w:widowControl w:val="0"/>
        <w:tabs>
          <w:tab w:val="right" w:pos="1008"/>
          <w:tab w:val="left" w:pos="1152"/>
          <w:tab w:val="left" w:pos="1872"/>
          <w:tab w:val="left" w:pos="9187"/>
        </w:tabs>
        <w:ind w:left="2088" w:hanging="2088"/>
      </w:pPr>
    </w:p>
    <w:p w:rsidR="00BD42E8" w:rsidRDefault="00BD42E8" w:rsidP="00BD42E8">
      <w:pPr>
        <w:widowControl w:val="0"/>
      </w:pPr>
      <w:r w:rsidRPr="00BD42E8">
        <w:rPr>
          <w:b/>
        </w:rPr>
        <w:t>VERSIONS OF THIS BILL</w:t>
      </w:r>
    </w:p>
    <w:p w:rsidR="00BD42E8" w:rsidRDefault="00BD42E8" w:rsidP="00BD42E8">
      <w:pPr>
        <w:widowControl w:val="0"/>
      </w:pPr>
    </w:p>
    <w:p w:rsidR="00BD42E8" w:rsidRDefault="00672727" w:rsidP="00BD42E8">
      <w:pPr>
        <w:widowControl w:val="0"/>
      </w:pPr>
      <w:hyperlink r:id="rId7" w:history="1">
        <w:r w:rsidR="00BD42E8">
          <w:rPr>
            <w:rStyle w:val="Hyperlink"/>
          </w:rPr>
          <w:t>12/3/2014</w:t>
        </w:r>
      </w:hyperlink>
    </w:p>
    <w:p w:rsidR="00BD42E8" w:rsidRDefault="00BD42E8" w:rsidP="00BD42E8"/>
    <w:p w:rsidR="00BD42E8" w:rsidRDefault="00BD42E8" w:rsidP="00BD42E8">
      <w:pPr>
        <w:sectPr w:rsidR="00BD42E8" w:rsidSect="00BD42E8">
          <w:pgSz w:w="12240" w:h="15840" w:code="1"/>
          <w:pgMar w:top="1080" w:right="1440" w:bottom="1080" w:left="1440" w:header="720" w:footer="720" w:gutter="0"/>
          <w:cols w:space="720"/>
          <w:noEndnote/>
          <w:docGrid w:linePitch="360"/>
        </w:sectPr>
      </w:pPr>
    </w:p>
    <w:p w:rsidR="00610EE7" w:rsidRPr="00522CE0" w:rsidRDefault="00610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46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5C8F" w:rsidRPr="007C36F6"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C36F6">
        <w:rPr>
          <w:color w:val="000000" w:themeColor="text1"/>
          <w:u w:color="000000" w:themeColor="text1"/>
        </w:rPr>
        <w:t>TO AMEND SECTION 12</w:t>
      </w:r>
      <w:r w:rsidRPr="007C36F6">
        <w:rPr>
          <w:color w:val="000000" w:themeColor="text1"/>
          <w:u w:color="000000" w:themeColor="text1"/>
        </w:rPr>
        <w:noBreakHyphen/>
        <w:t>43</w:t>
      </w:r>
      <w:r w:rsidRPr="007C36F6">
        <w:rPr>
          <w:color w:val="000000" w:themeColor="text1"/>
          <w:u w:color="000000" w:themeColor="text1"/>
        </w:rPr>
        <w:noBreakHyphen/>
        <w:t>220</w:t>
      </w:r>
      <w:r>
        <w:rPr>
          <w:color w:val="000000" w:themeColor="text1"/>
          <w:u w:color="000000" w:themeColor="text1"/>
        </w:rPr>
        <w:t xml:space="preserve"> OF THE 1976 CODE</w:t>
      </w:r>
      <w:r w:rsidRPr="007C36F6">
        <w:rPr>
          <w:color w:val="000000" w:themeColor="text1"/>
          <w:u w:color="000000" w:themeColor="text1"/>
        </w:rPr>
        <w:t>, RELATING TO THE CLASSIFICATION OF PROPERTY AND THE APPLICABLE ASSESSMENT RATIOS FOR PURPOSES OF IMPOSITION OF PROPERTY TAX, TO REDUCE THE ASSESSMENT RATIO ON MANUFACTURING, UTILITY, AND MINING REAL AND PERSONAL PROPERTY FROM TEN AND ONE</w:t>
      </w:r>
      <w:r w:rsidRPr="007C36F6">
        <w:rPr>
          <w:color w:val="000000" w:themeColor="text1"/>
          <w:u w:color="000000" w:themeColor="text1"/>
        </w:rPr>
        <w:noBreakHyphen/>
        <w:t>HALF PERCENT OF VALUE TO SIX PERCENT OF VALUE AND TO DELETE PROVISIONS MADE OBSOLETE BY THIS REDUCTION.</w:t>
      </w: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t>Whereas, Section 1(1), Article X of the Constitution of this State establishes a property tax classification for all real and personal property of manufacturing, utility, and mining property and provides for the assessment of that property at ten and one half percent of its fair market value; and</w:t>
      </w: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t>Whereas, Section 2(d), Article X of the Constitution of this State allows the General Assembly, by at least a two</w:t>
      </w:r>
      <w:r w:rsidRPr="00D53AAF">
        <w:rPr>
          <w:color w:val="000000" w:themeColor="text1"/>
          <w:u w:color="000000" w:themeColor="text1"/>
        </w:rPr>
        <w:noBreakHyphen/>
        <w:t>thirds vote in each house, to change the assessment ratio applicable to each constitutionally provided class of property.  Now, therefore,</w:t>
      </w: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t>Be it enacted by the General Assembly of the State of South Carolina:</w:t>
      </w: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5C8F" w:rsidRPr="00956554"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6554">
        <w:rPr>
          <w:color w:val="000000" w:themeColor="text1"/>
          <w:u w:color="000000" w:themeColor="text1"/>
        </w:rPr>
        <w:t>SECTION</w:t>
      </w:r>
      <w:r w:rsidRPr="00956554">
        <w:rPr>
          <w:color w:val="000000" w:themeColor="text1"/>
          <w:u w:color="000000" w:themeColor="text1"/>
        </w:rPr>
        <w:tab/>
        <w:t>1.</w:t>
      </w:r>
      <w:r w:rsidRPr="00956554">
        <w:rPr>
          <w:color w:val="000000" w:themeColor="text1"/>
          <w:u w:color="000000" w:themeColor="text1"/>
        </w:rPr>
        <w:tab/>
        <w:t>Section 12</w:t>
      </w:r>
      <w:r w:rsidRPr="00956554">
        <w:rPr>
          <w:color w:val="000000" w:themeColor="text1"/>
          <w:u w:color="000000" w:themeColor="text1"/>
        </w:rPr>
        <w:noBreakHyphen/>
        <w:t>43</w:t>
      </w:r>
      <w:r w:rsidRPr="00956554">
        <w:rPr>
          <w:color w:val="000000" w:themeColor="text1"/>
          <w:u w:color="000000" w:themeColor="text1"/>
        </w:rPr>
        <w:noBreakHyphen/>
        <w:t>220(a) of the 1976 Code is amended to read:</w:t>
      </w: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tab/>
        <w:t>“(a)</w:t>
      </w:r>
      <w:r w:rsidRPr="00D53AAF">
        <w:rPr>
          <w:strike/>
          <w:color w:val="000000" w:themeColor="text1"/>
          <w:u w:color="000000" w:themeColor="text1"/>
        </w:rPr>
        <w:t>(1)</w:t>
      </w:r>
      <w:r w:rsidRPr="00D53AAF">
        <w:rPr>
          <w:color w:val="000000" w:themeColor="text1"/>
          <w:u w:color="000000" w:themeColor="text1"/>
        </w:rPr>
        <w:tab/>
        <w:t>All real and personal property owned by or leased to manufacturers</w:t>
      </w:r>
      <w:r w:rsidRPr="00D53AAF">
        <w:rPr>
          <w:color w:val="000000" w:themeColor="text1"/>
          <w:u w:val="single" w:color="000000" w:themeColor="text1"/>
        </w:rPr>
        <w:t>, mining operations,</w:t>
      </w:r>
      <w:r w:rsidRPr="00D53AAF">
        <w:rPr>
          <w:color w:val="000000" w:themeColor="text1"/>
          <w:u w:color="000000" w:themeColor="text1"/>
        </w:rPr>
        <w:t xml:space="preserve"> and utilities</w:t>
      </w:r>
      <w:r w:rsidRPr="00D53AAF">
        <w:rPr>
          <w:color w:val="000000" w:themeColor="text1"/>
          <w:u w:val="single" w:color="000000" w:themeColor="text1"/>
        </w:rPr>
        <w:t>,</w:t>
      </w:r>
      <w:r w:rsidRPr="00D53AAF">
        <w:rPr>
          <w:color w:val="000000" w:themeColor="text1"/>
          <w:u w:color="000000" w:themeColor="text1"/>
        </w:rPr>
        <w:t xml:space="preserve"> and used by the manufacturer</w:t>
      </w:r>
      <w:r w:rsidRPr="00D53AAF">
        <w:rPr>
          <w:color w:val="000000" w:themeColor="text1"/>
          <w:u w:val="single" w:color="000000" w:themeColor="text1"/>
        </w:rPr>
        <w:t>, mining operation,</w:t>
      </w:r>
      <w:r w:rsidRPr="00D53AAF">
        <w:rPr>
          <w:color w:val="000000" w:themeColor="text1"/>
          <w:u w:color="000000" w:themeColor="text1"/>
        </w:rPr>
        <w:t xml:space="preserve"> or utility in the conduct of the business must be taxed on an assessment equal to </w:t>
      </w:r>
      <w:r w:rsidRPr="00D53AAF">
        <w:rPr>
          <w:strike/>
          <w:color w:val="000000" w:themeColor="text1"/>
          <w:u w:color="000000" w:themeColor="text1"/>
        </w:rPr>
        <w:t>ten and one</w:t>
      </w:r>
      <w:r w:rsidRPr="00D53AAF">
        <w:rPr>
          <w:strike/>
          <w:color w:val="000000" w:themeColor="text1"/>
          <w:u w:color="000000" w:themeColor="text1"/>
        </w:rPr>
        <w:noBreakHyphen/>
        <w:t>half</w:t>
      </w:r>
      <w:r w:rsidRPr="00D53AAF">
        <w:rPr>
          <w:color w:val="000000" w:themeColor="text1"/>
          <w:u w:color="000000" w:themeColor="text1"/>
        </w:rPr>
        <w:t xml:space="preserve"> </w:t>
      </w:r>
      <w:r w:rsidRPr="00D53AAF">
        <w:rPr>
          <w:color w:val="000000" w:themeColor="text1"/>
          <w:u w:val="single" w:color="000000" w:themeColor="text1"/>
        </w:rPr>
        <w:t>six</w:t>
      </w:r>
      <w:r w:rsidRPr="00D53AAF">
        <w:rPr>
          <w:color w:val="000000" w:themeColor="text1"/>
          <w:u w:color="000000" w:themeColor="text1"/>
        </w:rPr>
        <w:t xml:space="preserve"> percent of the fai</w:t>
      </w:r>
      <w:r w:rsidR="00A956F7">
        <w:rPr>
          <w:color w:val="000000" w:themeColor="text1"/>
          <w:u w:color="000000" w:themeColor="text1"/>
        </w:rPr>
        <w:t>r market value of the property.</w:t>
      </w: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520D">
        <w:rPr>
          <w:color w:val="000000" w:themeColor="text1"/>
          <w:u w:color="000000" w:themeColor="text1"/>
        </w:rPr>
        <w:lastRenderedPageBreak/>
        <w:tab/>
      </w:r>
      <w:r w:rsidRPr="00D53AAF">
        <w:rPr>
          <w:strike/>
          <w:color w:val="000000" w:themeColor="text1"/>
          <w:u w:color="000000" w:themeColor="text1"/>
        </w:rPr>
        <w:t>(2)</w:t>
      </w:r>
      <w:r w:rsidRPr="005C520D">
        <w:rPr>
          <w:color w:val="000000" w:themeColor="text1"/>
          <w:u w:color="000000" w:themeColor="text1"/>
        </w:rPr>
        <w:tab/>
      </w:r>
      <w:r w:rsidRPr="00D53AAF">
        <w:rPr>
          <w:strike/>
          <w:color w:val="000000" w:themeColor="text1"/>
          <w:u w:color="000000" w:themeColor="text1"/>
        </w:rPr>
        <w:t>Real property owned by or leased to a manufacturer and used primarily for research and development is not considered used by a manufacturer in the conduct of the business of the manufacturer for purposes of classification of property pursua</w:t>
      </w:r>
      <w:r w:rsidR="00A956F7">
        <w:rPr>
          <w:strike/>
          <w:color w:val="000000" w:themeColor="text1"/>
          <w:u w:color="000000" w:themeColor="text1"/>
        </w:rPr>
        <w:t>nt to this item (a).</w:t>
      </w:r>
      <w:r>
        <w:rPr>
          <w:strike/>
          <w:color w:val="000000" w:themeColor="text1"/>
          <w:u w:color="000000" w:themeColor="text1"/>
        </w:rPr>
        <w:t xml:space="preserve"> The term ‘</w:t>
      </w:r>
      <w:r w:rsidRPr="00D53AAF">
        <w:rPr>
          <w:strike/>
          <w:color w:val="000000" w:themeColor="text1"/>
          <w:u w:color="000000" w:themeColor="text1"/>
        </w:rPr>
        <w:t>research and development</w:t>
      </w:r>
      <w:r>
        <w:rPr>
          <w:strike/>
          <w:color w:val="000000" w:themeColor="text1"/>
          <w:u w:color="000000" w:themeColor="text1"/>
        </w:rPr>
        <w:t>’</w:t>
      </w:r>
      <w:r w:rsidRPr="00D53AAF">
        <w:rPr>
          <w:strike/>
          <w:color w:val="000000" w:themeColor="text1"/>
          <w:u w:color="000000" w:themeColor="text1"/>
        </w:rPr>
        <w:t xml:space="preserve"> means basic and applied research in the sciences and engineering and the design and developme</w:t>
      </w:r>
      <w:r w:rsidR="00A956F7">
        <w:rPr>
          <w:strike/>
          <w:color w:val="000000" w:themeColor="text1"/>
          <w:u w:color="000000" w:themeColor="text1"/>
        </w:rPr>
        <w:t>nt of prototypes and processes.</w:t>
      </w: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520D">
        <w:rPr>
          <w:color w:val="000000" w:themeColor="text1"/>
          <w:u w:color="000000" w:themeColor="text1"/>
        </w:rPr>
        <w:tab/>
      </w:r>
      <w:r w:rsidRPr="00D53AAF">
        <w:rPr>
          <w:strike/>
          <w:color w:val="000000" w:themeColor="text1"/>
          <w:u w:color="000000" w:themeColor="text1"/>
        </w:rPr>
        <w:t>(3)</w:t>
      </w:r>
      <w:r w:rsidRPr="005C520D">
        <w:rPr>
          <w:color w:val="000000" w:themeColor="text1"/>
          <w:u w:color="000000" w:themeColor="text1"/>
        </w:rPr>
        <w:tab/>
      </w:r>
      <w:r w:rsidRPr="00D53AAF">
        <w:rPr>
          <w:strike/>
          <w:color w:val="000000" w:themeColor="text1"/>
          <w:u w:color="000000" w:themeColor="text1"/>
        </w:rPr>
        <w:t xml:space="preserve">Real property owned by or leased to a manufacturer and used primarily as an office building is not considered used by a manufacturer in the conduct of the business of the manufacturer for purposes of classification of property pursuant to this item (a) if the office building is not located on the premises of or contiguous to the </w:t>
      </w:r>
      <w:r w:rsidR="00A956F7">
        <w:rPr>
          <w:strike/>
          <w:color w:val="000000" w:themeColor="text1"/>
          <w:u w:color="000000" w:themeColor="text1"/>
        </w:rPr>
        <w:t>plant site of the manufacturer.</w:t>
      </w: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520D">
        <w:rPr>
          <w:color w:val="000000" w:themeColor="text1"/>
          <w:u w:color="000000" w:themeColor="text1"/>
        </w:rPr>
        <w:tab/>
      </w:r>
      <w:r w:rsidRPr="00D53AAF">
        <w:rPr>
          <w:strike/>
          <w:color w:val="000000" w:themeColor="text1"/>
          <w:u w:color="000000" w:themeColor="text1"/>
        </w:rPr>
        <w:t>(4)</w:t>
      </w:r>
      <w:r w:rsidRPr="005C520D">
        <w:rPr>
          <w:color w:val="000000" w:themeColor="text1"/>
          <w:u w:color="000000" w:themeColor="text1"/>
        </w:rPr>
        <w:tab/>
      </w:r>
      <w:r w:rsidRPr="00D53AAF">
        <w:rPr>
          <w:strike/>
          <w:color w:val="000000" w:themeColor="text1"/>
          <w:u w:color="000000" w:themeColor="text1"/>
        </w:rPr>
        <w:t>Real property owned by or leased to a manufacturer and used primarily for warehousing and wholesale distribution is not considered used by a manufacturer in the conduct of the business of the manufacturer for purposes of classification of property pursuant to subsection (a). For purposes of this item, the real property owned by or leased to a manufacturer and used primarily for warehousing and wholesale distribution must not be physically attached to the manufacturing plant unless the warehousing and wholesale distribution area is separated by a permanent wall.</w:t>
      </w:r>
      <w:r w:rsidRPr="00D53AAF">
        <w:rPr>
          <w:color w:val="000000" w:themeColor="text1"/>
          <w:u w:color="000000" w:themeColor="text1"/>
        </w:rPr>
        <w:t>”</w:t>
      </w: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t>SECTION</w:t>
      </w:r>
      <w:r w:rsidRPr="00D53AAF">
        <w:rPr>
          <w:color w:val="000000" w:themeColor="text1"/>
          <w:u w:color="000000" w:themeColor="text1"/>
        </w:rPr>
        <w:tab/>
        <w:t>2.</w:t>
      </w:r>
      <w:r w:rsidRPr="00D53AAF">
        <w:rPr>
          <w:color w:val="000000" w:themeColor="text1"/>
          <w:u w:color="000000" w:themeColor="text1"/>
        </w:rPr>
        <w:tab/>
        <w:t>This act takes effect upon approval by the Governor and applies for propert</w:t>
      </w:r>
      <w:r>
        <w:rPr>
          <w:color w:val="000000" w:themeColor="text1"/>
          <w:u w:color="000000" w:themeColor="text1"/>
        </w:rPr>
        <w:t>y tax years beginning after 201</w:t>
      </w:r>
      <w:r w:rsidR="00AC4B61">
        <w:rPr>
          <w:color w:val="000000" w:themeColor="text1"/>
          <w:u w:color="000000" w:themeColor="text1"/>
        </w:rPr>
        <w:t>4</w:t>
      </w:r>
      <w:r w:rsidRPr="00D53AAF">
        <w:rPr>
          <w:color w:val="000000" w:themeColor="text1"/>
          <w:u w:color="000000" w:themeColor="text1"/>
        </w:rPr>
        <w:t>.</w:t>
      </w:r>
    </w:p>
    <w:p w:rsidR="002804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D42E8" w:rsidRDefault="00BD42E8" w:rsidP="00BD42E8">
      <w:pPr>
        <w:suppressAutoHyphens/>
        <w:jc w:val="both"/>
        <w:rPr>
          <w:rFonts w:eastAsia="Times New Roman"/>
        </w:rPr>
      </w:pPr>
    </w:p>
    <w:sectPr w:rsidR="00BD42E8" w:rsidSect="00BD42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69A" w:rsidRDefault="0038469A" w:rsidP="00522CE0">
      <w:r>
        <w:separator/>
      </w:r>
    </w:p>
  </w:endnote>
  <w:endnote w:type="continuationSeparator" w:id="0">
    <w:p w:rsidR="0038469A" w:rsidRDefault="0038469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FC2DD7-5F54-4DCD-90F4-D13BDDED7D9E}"/>
    <w:embedBold r:id="rId2" w:fontKey="{3E605583-02F0-4456-9EAD-D8AB07950B79}"/>
  </w:font>
  <w:font w:name="Calibri">
    <w:panose1 w:val="020F0502020204030204"/>
    <w:charset w:val="00"/>
    <w:family w:val="swiss"/>
    <w:pitch w:val="variable"/>
    <w:sig w:usb0="E10002FF" w:usb1="4000ACFF" w:usb2="00000009" w:usb3="00000000" w:csb0="0000019F" w:csb1="00000000"/>
    <w:embedRegular r:id="rId3" w:fontKey="{00A748EE-2FDE-4B18-8971-BBED136D5889}"/>
    <w:embedBold r:id="rId4" w:fontKey="{0098D2BE-5C06-4C77-9AA3-A2B63D30D874}"/>
  </w:font>
  <w:font w:name="Cambria">
    <w:panose1 w:val="02040503050406030204"/>
    <w:charset w:val="00"/>
    <w:family w:val="roman"/>
    <w:pitch w:val="variable"/>
    <w:sig w:usb0="E00002FF" w:usb1="400004FF" w:usb2="00000000" w:usb3="00000000" w:csb0="0000019F" w:csb1="00000000"/>
    <w:embedRegular r:id="rId5" w:fontKey="{B2EFDD83-B2E2-44DD-869E-F366F34583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2E8" w:rsidRPr="00610EE7" w:rsidRDefault="00BD42E8" w:rsidP="00610EE7">
    <w:pPr>
      <w:pStyle w:val="Footer"/>
      <w:tabs>
        <w:tab w:val="clear" w:pos="4680"/>
        <w:tab w:val="clear" w:pos="9360"/>
        <w:tab w:val="center" w:pos="2995"/>
      </w:tabs>
      <w:spacing w:before="120"/>
    </w:pPr>
    <w:r>
      <w:t>[118]</w:t>
    </w:r>
    <w:r>
      <w:tab/>
    </w:r>
    <w:r>
      <w:fldChar w:fldCharType="begin"/>
    </w:r>
    <w:r>
      <w:instrText xml:space="preserve"> PAGE  \* MERGEFORMAT </w:instrText>
    </w:r>
    <w:r>
      <w:fldChar w:fldCharType="separate"/>
    </w:r>
    <w:r w:rsidR="00FC02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69A" w:rsidRDefault="0038469A" w:rsidP="00522CE0">
      <w:r>
        <w:separator/>
      </w:r>
    </w:p>
  </w:footnote>
  <w:footnote w:type="continuationSeparator" w:id="0">
    <w:p w:rsidR="0038469A" w:rsidRDefault="0038469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PROP.LS.LB"/>
    <w:docVar w:name="CoverAttorneyInitials" w:val="LS"/>
    <w:docVar w:name="CoverAttorneyLastName" w:val="Simpson"/>
    <w:docVar w:name="CoverBillType" w:val="b"/>
    <w:docVar w:name="CoverSenator" w:val="LB"/>
    <w:docVar w:name="dvBillNumber" w:val="118"/>
    <w:docVar w:name="dvBillNumberPrefix" w:val="S. "/>
    <w:docVar w:name="dvOriginalBody" w:val="Senate"/>
    <w:docVar w:name="fulldraftpath" w:val="L:\S-RES\LB\044PROP.LS.LB.DOCX"/>
    <w:docVar w:name="NameofBody" w:val="S"/>
    <w:docVar w:name="vgroup2" w:val="S-RES"/>
  </w:docVars>
  <w:rsids>
    <w:rsidRoot w:val="0038469A"/>
    <w:rsid w:val="00042AC1"/>
    <w:rsid w:val="00046516"/>
    <w:rsid w:val="0007601D"/>
    <w:rsid w:val="000B0720"/>
    <w:rsid w:val="000B5EAF"/>
    <w:rsid w:val="00170561"/>
    <w:rsid w:val="00186AC9"/>
    <w:rsid w:val="00197DF1"/>
    <w:rsid w:val="001B3DD9"/>
    <w:rsid w:val="001B7E5D"/>
    <w:rsid w:val="001D3BAC"/>
    <w:rsid w:val="00216025"/>
    <w:rsid w:val="00245C4E"/>
    <w:rsid w:val="0028042B"/>
    <w:rsid w:val="002C1321"/>
    <w:rsid w:val="002C5896"/>
    <w:rsid w:val="002D3BED"/>
    <w:rsid w:val="002E42DD"/>
    <w:rsid w:val="00307C2B"/>
    <w:rsid w:val="00383247"/>
    <w:rsid w:val="0038469A"/>
    <w:rsid w:val="003D6E2B"/>
    <w:rsid w:val="003E7597"/>
    <w:rsid w:val="003F4177"/>
    <w:rsid w:val="0044020F"/>
    <w:rsid w:val="00450668"/>
    <w:rsid w:val="004813A2"/>
    <w:rsid w:val="004952FA"/>
    <w:rsid w:val="004B6A22"/>
    <w:rsid w:val="004C2968"/>
    <w:rsid w:val="004D7F37"/>
    <w:rsid w:val="00522CE0"/>
    <w:rsid w:val="00565148"/>
    <w:rsid w:val="00570403"/>
    <w:rsid w:val="00593361"/>
    <w:rsid w:val="005A413B"/>
    <w:rsid w:val="005A5017"/>
    <w:rsid w:val="005A648C"/>
    <w:rsid w:val="005F1745"/>
    <w:rsid w:val="00610EE7"/>
    <w:rsid w:val="00614453"/>
    <w:rsid w:val="006A1802"/>
    <w:rsid w:val="006C74EA"/>
    <w:rsid w:val="00720D40"/>
    <w:rsid w:val="007318D4"/>
    <w:rsid w:val="00765784"/>
    <w:rsid w:val="007A4390"/>
    <w:rsid w:val="007E4BDD"/>
    <w:rsid w:val="007E5CB7"/>
    <w:rsid w:val="008314D2"/>
    <w:rsid w:val="008B2F42"/>
    <w:rsid w:val="008C3697"/>
    <w:rsid w:val="008D5C8F"/>
    <w:rsid w:val="008E185F"/>
    <w:rsid w:val="008F023B"/>
    <w:rsid w:val="00904E16"/>
    <w:rsid w:val="009162B3"/>
    <w:rsid w:val="00927C62"/>
    <w:rsid w:val="00983951"/>
    <w:rsid w:val="00984124"/>
    <w:rsid w:val="00984640"/>
    <w:rsid w:val="00995C37"/>
    <w:rsid w:val="009C118A"/>
    <w:rsid w:val="00A02011"/>
    <w:rsid w:val="00A4011E"/>
    <w:rsid w:val="00A86015"/>
    <w:rsid w:val="00A956F7"/>
    <w:rsid w:val="00A9594E"/>
    <w:rsid w:val="00AC4B61"/>
    <w:rsid w:val="00AE59C8"/>
    <w:rsid w:val="00B10098"/>
    <w:rsid w:val="00B5790D"/>
    <w:rsid w:val="00B86D1D"/>
    <w:rsid w:val="00B945C5"/>
    <w:rsid w:val="00BA20EA"/>
    <w:rsid w:val="00BB5AFC"/>
    <w:rsid w:val="00BC0A56"/>
    <w:rsid w:val="00BD42E8"/>
    <w:rsid w:val="00C45366"/>
    <w:rsid w:val="00C57023"/>
    <w:rsid w:val="00C74052"/>
    <w:rsid w:val="00CB187A"/>
    <w:rsid w:val="00CC0EC7"/>
    <w:rsid w:val="00CC4CE2"/>
    <w:rsid w:val="00D1088B"/>
    <w:rsid w:val="00D14DE6"/>
    <w:rsid w:val="00D156D2"/>
    <w:rsid w:val="00D53E29"/>
    <w:rsid w:val="00D86943"/>
    <w:rsid w:val="00DA47B9"/>
    <w:rsid w:val="00E058D3"/>
    <w:rsid w:val="00E162A6"/>
    <w:rsid w:val="00E42A66"/>
    <w:rsid w:val="00E76AD9"/>
    <w:rsid w:val="00E84872"/>
    <w:rsid w:val="00E91E2F"/>
    <w:rsid w:val="00EA3546"/>
    <w:rsid w:val="00EB47AE"/>
    <w:rsid w:val="00EC34E1"/>
    <w:rsid w:val="00F0234A"/>
    <w:rsid w:val="00F05CF2"/>
    <w:rsid w:val="00F458F8"/>
    <w:rsid w:val="00F51241"/>
    <w:rsid w:val="00F52959"/>
    <w:rsid w:val="00F55884"/>
    <w:rsid w:val="00FC022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99700A4F-6F89-4F27-828D-89AF583D8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D42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5-16\118_2014120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18&amp;session=121&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C41E24A4.dotm</Template>
  <TotalTime>0</TotalTime>
  <Pages>3</Pages>
  <Words>561</Words>
  <Characters>3203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 Property tax assessment ratios - South Carolina Legislature Online</dc:title>
  <dc:subject/>
  <dc:creator>LeslieSimpson</dc:creator>
  <cp:keywords/>
  <dc:description/>
  <cp:lastModifiedBy>Angela Hill</cp:lastModifiedBy>
  <cp:revision>2</cp:revision>
  <dcterms:created xsi:type="dcterms:W3CDTF">2015-04-13T18:37:00Z</dcterms:created>
  <dcterms:modified xsi:type="dcterms:W3CDTF">2015-04-13T18:37:00Z</dcterms:modified>
</cp:coreProperties>
</file>