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738" w:rsidRDefault="00582738" w:rsidP="00582738">
      <w:pPr>
        <w:widowControl w:val="0"/>
        <w:jc w:val="center"/>
      </w:pPr>
      <w:bookmarkStart w:id="0" w:name="_GoBack"/>
      <w:bookmarkEnd w:id="0"/>
      <w:r w:rsidRPr="00582738">
        <w:rPr>
          <w:b/>
        </w:rPr>
        <w:t>South Carolina General Assembly</w:t>
      </w:r>
    </w:p>
    <w:p w:rsidR="00582738" w:rsidRDefault="00582738" w:rsidP="00582738">
      <w:pPr>
        <w:widowControl w:val="0"/>
        <w:jc w:val="center"/>
      </w:pPr>
      <w:r>
        <w:t>121st Session, 2015-2016</w:t>
      </w:r>
    </w:p>
    <w:p w:rsidR="00582738" w:rsidRDefault="00582738" w:rsidP="00582738">
      <w:pPr>
        <w:widowControl w:val="0"/>
      </w:pPr>
    </w:p>
    <w:p w:rsidR="00582738" w:rsidRDefault="00582738" w:rsidP="00582738">
      <w:pPr>
        <w:widowControl w:val="0"/>
        <w:rPr>
          <w:b/>
        </w:rPr>
      </w:pPr>
      <w:r w:rsidRPr="00582738">
        <w:rPr>
          <w:b/>
        </w:rPr>
        <w:t>S.</w:t>
      </w:r>
      <w:r>
        <w:rPr>
          <w:b/>
        </w:rPr>
        <w:t xml:space="preserve"> </w:t>
      </w:r>
      <w:r w:rsidRPr="00582738">
        <w:rPr>
          <w:b/>
        </w:rPr>
        <w:t>282</w:t>
      </w:r>
    </w:p>
    <w:p w:rsidR="00582738" w:rsidRDefault="00582738" w:rsidP="00582738">
      <w:pPr>
        <w:widowControl w:val="0"/>
        <w:rPr>
          <w:b/>
        </w:rPr>
      </w:pPr>
    </w:p>
    <w:p w:rsidR="00582738" w:rsidRDefault="00582738" w:rsidP="00582738">
      <w:pPr>
        <w:widowControl w:val="0"/>
      </w:pPr>
      <w:r w:rsidRPr="00582738">
        <w:rPr>
          <w:b/>
        </w:rPr>
        <w:t>STATUS INFORMATION</w:t>
      </w:r>
    </w:p>
    <w:p w:rsidR="00582738" w:rsidRDefault="00582738" w:rsidP="00582738">
      <w:pPr>
        <w:widowControl w:val="0"/>
      </w:pPr>
    </w:p>
    <w:p w:rsidR="00582738" w:rsidRDefault="00582738" w:rsidP="00582738">
      <w:pPr>
        <w:widowControl w:val="0"/>
      </w:pPr>
      <w:r>
        <w:t>General Bill</w:t>
      </w:r>
    </w:p>
    <w:p w:rsidR="00582738" w:rsidRDefault="00582738" w:rsidP="00582738">
      <w:pPr>
        <w:widowControl w:val="0"/>
      </w:pPr>
      <w:r>
        <w:t>Sponsors: Senator Massey</w:t>
      </w:r>
    </w:p>
    <w:p w:rsidR="00582738" w:rsidRDefault="00582738" w:rsidP="00582738">
      <w:pPr>
        <w:widowControl w:val="0"/>
      </w:pPr>
      <w:r>
        <w:t>Document Path: l:\s-res\asm\016liab.eb.asm.docx</w:t>
      </w:r>
    </w:p>
    <w:p w:rsidR="00315C2D" w:rsidRDefault="00315C2D" w:rsidP="00582738">
      <w:pPr>
        <w:widowControl w:val="0"/>
      </w:pPr>
      <w:r>
        <w:t>Companion/Similar bill(s): 529</w:t>
      </w:r>
    </w:p>
    <w:p w:rsidR="00582738" w:rsidRDefault="00582738" w:rsidP="00582738">
      <w:pPr>
        <w:widowControl w:val="0"/>
      </w:pPr>
    </w:p>
    <w:p w:rsidR="00582738" w:rsidRDefault="00582738" w:rsidP="00582738">
      <w:pPr>
        <w:widowControl w:val="0"/>
      </w:pPr>
      <w:r>
        <w:t>Introduced in the Senate on January 13, 2015</w:t>
      </w:r>
    </w:p>
    <w:p w:rsidR="00582738" w:rsidRDefault="00582738" w:rsidP="00582738">
      <w:pPr>
        <w:widowControl w:val="0"/>
      </w:pPr>
      <w:r>
        <w:t xml:space="preserve">Currently residing in the Senate Committee on </w:t>
      </w:r>
      <w:r w:rsidRPr="00582738">
        <w:rPr>
          <w:b/>
        </w:rPr>
        <w:t>Judiciary</w:t>
      </w:r>
    </w:p>
    <w:p w:rsidR="00582738" w:rsidRDefault="00582738" w:rsidP="00582738">
      <w:pPr>
        <w:widowControl w:val="0"/>
      </w:pPr>
    </w:p>
    <w:p w:rsidR="00582738" w:rsidRDefault="00582738" w:rsidP="00582738">
      <w:pPr>
        <w:widowControl w:val="0"/>
      </w:pPr>
      <w:r>
        <w:t xml:space="preserve">Summary: </w:t>
      </w:r>
      <w:r w:rsidR="001F60F1">
        <w:t>Noneconomic damages limit</w:t>
      </w:r>
    </w:p>
    <w:p w:rsidR="00582738" w:rsidRDefault="00582738" w:rsidP="00582738">
      <w:pPr>
        <w:widowControl w:val="0"/>
      </w:pPr>
    </w:p>
    <w:p w:rsidR="00582738" w:rsidRDefault="00582738" w:rsidP="00582738">
      <w:pPr>
        <w:widowControl w:val="0"/>
      </w:pPr>
    </w:p>
    <w:p w:rsidR="00582738" w:rsidRDefault="00582738" w:rsidP="00582738">
      <w:pPr>
        <w:widowControl w:val="0"/>
        <w:tabs>
          <w:tab w:val="center" w:pos="590"/>
          <w:tab w:val="center" w:pos="1440"/>
          <w:tab w:val="left" w:pos="1872"/>
          <w:tab w:val="left" w:pos="9187"/>
        </w:tabs>
      </w:pPr>
      <w:r w:rsidRPr="00582738">
        <w:rPr>
          <w:b/>
        </w:rPr>
        <w:t>HISTORY OF LEGISLATIVE ACTIONS</w:t>
      </w:r>
    </w:p>
    <w:p w:rsidR="00582738" w:rsidRDefault="00582738" w:rsidP="00582738">
      <w:pPr>
        <w:widowControl w:val="0"/>
        <w:tabs>
          <w:tab w:val="center" w:pos="590"/>
          <w:tab w:val="center" w:pos="1440"/>
          <w:tab w:val="left" w:pos="1872"/>
          <w:tab w:val="left" w:pos="9187"/>
        </w:tabs>
      </w:pPr>
    </w:p>
    <w:p w:rsidR="00582738" w:rsidRPr="00582738" w:rsidRDefault="00582738" w:rsidP="00582738">
      <w:pPr>
        <w:widowControl w:val="0"/>
        <w:tabs>
          <w:tab w:val="center" w:pos="590"/>
          <w:tab w:val="center" w:pos="1440"/>
          <w:tab w:val="left" w:pos="1872"/>
          <w:tab w:val="left" w:pos="9187"/>
        </w:tabs>
      </w:pPr>
      <w:r w:rsidRPr="00582738">
        <w:rPr>
          <w:u w:val="single"/>
        </w:rPr>
        <w:tab/>
        <w:t>Date</w:t>
      </w:r>
      <w:r w:rsidRPr="00582738">
        <w:rPr>
          <w:u w:val="single"/>
        </w:rPr>
        <w:tab/>
        <w:t>Body</w:t>
      </w:r>
      <w:r w:rsidRPr="00582738">
        <w:rPr>
          <w:u w:val="single"/>
        </w:rPr>
        <w:tab/>
        <w:t>Action Description with journal page number</w:t>
      </w:r>
      <w:r w:rsidRPr="00582738">
        <w:rPr>
          <w:u w:val="single"/>
        </w:rPr>
        <w:tab/>
      </w:r>
    </w:p>
    <w:p w:rsidR="00FE7BE3" w:rsidRDefault="00FE7BE3" w:rsidP="00FE7BE3">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A9436F">
        <w:t>(</w:t>
      </w:r>
      <w:hyperlink r:id="rId6" w:history="1">
        <w:r w:rsidRPr="00C103EC">
          <w:rPr>
            <w:rStyle w:val="Hyperlink"/>
          </w:rPr>
          <w:t>Senate Journal</w:t>
        </w:r>
        <w:r w:rsidRPr="00C103EC">
          <w:rPr>
            <w:rStyle w:val="Hyperlink"/>
          </w:rPr>
          <w:noBreakHyphen/>
          <w:t>page 167</w:t>
        </w:r>
      </w:hyperlink>
      <w:r w:rsidRPr="00A9436F">
        <w:t>)</w:t>
      </w:r>
    </w:p>
    <w:p w:rsidR="00FE7BE3" w:rsidRDefault="00FE7BE3" w:rsidP="00FE7BE3">
      <w:pPr>
        <w:widowControl w:val="0"/>
        <w:tabs>
          <w:tab w:val="right" w:pos="1008"/>
          <w:tab w:val="left" w:pos="1152"/>
          <w:tab w:val="left" w:pos="1872"/>
          <w:tab w:val="left" w:pos="9187"/>
        </w:tabs>
        <w:ind w:left="2088" w:hanging="2088"/>
      </w:pPr>
      <w:r>
        <w:tab/>
        <w:t>1/13/2015</w:t>
      </w:r>
      <w:r>
        <w:tab/>
        <w:t>Senate</w:t>
      </w:r>
      <w:r>
        <w:tab/>
      </w:r>
      <w:r w:rsidRPr="00A9436F">
        <w:t>Ref</w:t>
      </w:r>
      <w:r>
        <w:t xml:space="preserve">erred to Committee on </w:t>
      </w:r>
      <w:r w:rsidRPr="00A9436F">
        <w:rPr>
          <w:b/>
        </w:rPr>
        <w:t>Judiciary</w:t>
      </w:r>
      <w:r>
        <w:t xml:space="preserve"> </w:t>
      </w:r>
      <w:r w:rsidRPr="00A9436F">
        <w:t>(</w:t>
      </w:r>
      <w:hyperlink r:id="rId7" w:history="1">
        <w:r w:rsidRPr="00C103EC">
          <w:rPr>
            <w:rStyle w:val="Hyperlink"/>
          </w:rPr>
          <w:t>Senate Journal</w:t>
        </w:r>
        <w:r w:rsidRPr="00C103EC">
          <w:rPr>
            <w:rStyle w:val="Hyperlink"/>
          </w:rPr>
          <w:noBreakHyphen/>
          <w:t>page 167</w:t>
        </w:r>
      </w:hyperlink>
      <w:r w:rsidRPr="00A9436F">
        <w:t>)</w:t>
      </w:r>
    </w:p>
    <w:p w:rsidR="00FE7BE3" w:rsidRDefault="00FE7BE3" w:rsidP="00FE7BE3">
      <w:pPr>
        <w:widowControl w:val="0"/>
        <w:tabs>
          <w:tab w:val="right" w:pos="1008"/>
          <w:tab w:val="left" w:pos="1152"/>
          <w:tab w:val="left" w:pos="1872"/>
          <w:tab w:val="left" w:pos="9187"/>
        </w:tabs>
        <w:ind w:left="2088" w:hanging="2088"/>
      </w:pPr>
      <w:r>
        <w:tab/>
        <w:t>2/10/2015</w:t>
      </w:r>
      <w:r>
        <w:tab/>
      </w:r>
      <w:r>
        <w:tab/>
      </w:r>
      <w:r w:rsidRPr="00A9436F">
        <w:t>Scrivener's error corrected</w:t>
      </w:r>
    </w:p>
    <w:p w:rsidR="00FE7BE3" w:rsidRDefault="00FE7BE3" w:rsidP="00FE7BE3">
      <w:pPr>
        <w:widowControl w:val="0"/>
        <w:tabs>
          <w:tab w:val="right" w:pos="1008"/>
          <w:tab w:val="left" w:pos="1152"/>
          <w:tab w:val="left" w:pos="1872"/>
          <w:tab w:val="left" w:pos="9187"/>
        </w:tabs>
        <w:ind w:left="2088" w:hanging="2088"/>
      </w:pPr>
      <w:r>
        <w:tab/>
        <w:t>2/20/2015</w:t>
      </w:r>
      <w:r>
        <w:tab/>
        <w:t>Senate</w:t>
      </w:r>
      <w:r>
        <w:tab/>
      </w:r>
      <w:r w:rsidRPr="00A9436F">
        <w:t>Referred to Subcommittee: Massey (ch), Coleman, Gregory</w:t>
      </w:r>
    </w:p>
    <w:p w:rsidR="00FE7BE3" w:rsidRDefault="00FE7BE3" w:rsidP="00FE7BE3">
      <w:pPr>
        <w:widowControl w:val="0"/>
        <w:tabs>
          <w:tab w:val="right" w:pos="1008"/>
          <w:tab w:val="left" w:pos="1152"/>
          <w:tab w:val="left" w:pos="1872"/>
          <w:tab w:val="left" w:pos="9187"/>
        </w:tabs>
        <w:ind w:left="2088" w:hanging="2088"/>
      </w:pPr>
    </w:p>
    <w:p w:rsidR="00582738" w:rsidRDefault="00582738" w:rsidP="00582738">
      <w:pPr>
        <w:widowControl w:val="0"/>
        <w:tabs>
          <w:tab w:val="right" w:pos="1008"/>
          <w:tab w:val="left" w:pos="1152"/>
          <w:tab w:val="left" w:pos="1872"/>
          <w:tab w:val="left" w:pos="9187"/>
        </w:tabs>
        <w:ind w:left="2088" w:hanging="2088"/>
      </w:pPr>
      <w:r>
        <w:t xml:space="preserve">View the latest </w:t>
      </w:r>
      <w:hyperlink r:id="rId8" w:history="1">
        <w:r w:rsidRPr="00582738">
          <w:rPr>
            <w:rStyle w:val="Hyperlink"/>
          </w:rPr>
          <w:t>legislative information</w:t>
        </w:r>
      </w:hyperlink>
      <w:r>
        <w:t xml:space="preserve"> at the website</w:t>
      </w:r>
    </w:p>
    <w:p w:rsidR="00582738" w:rsidRDefault="00582738" w:rsidP="00582738">
      <w:pPr>
        <w:widowControl w:val="0"/>
        <w:tabs>
          <w:tab w:val="right" w:pos="1008"/>
          <w:tab w:val="left" w:pos="1152"/>
          <w:tab w:val="left" w:pos="1872"/>
          <w:tab w:val="left" w:pos="9187"/>
        </w:tabs>
        <w:ind w:left="2088" w:hanging="2088"/>
      </w:pPr>
    </w:p>
    <w:p w:rsidR="00582738" w:rsidRPr="00582738" w:rsidRDefault="00582738" w:rsidP="00582738">
      <w:pPr>
        <w:widowControl w:val="0"/>
        <w:tabs>
          <w:tab w:val="right" w:pos="1008"/>
          <w:tab w:val="left" w:pos="1152"/>
          <w:tab w:val="left" w:pos="1872"/>
          <w:tab w:val="left" w:pos="9187"/>
        </w:tabs>
        <w:ind w:left="2088" w:hanging="2088"/>
      </w:pPr>
    </w:p>
    <w:p w:rsidR="00582738" w:rsidRDefault="00582738" w:rsidP="00582738">
      <w:pPr>
        <w:widowControl w:val="0"/>
      </w:pPr>
      <w:r w:rsidRPr="00582738">
        <w:rPr>
          <w:b/>
        </w:rPr>
        <w:t>VERSIONS OF THIS BILL</w:t>
      </w:r>
    </w:p>
    <w:p w:rsidR="00582738" w:rsidRDefault="00582738" w:rsidP="00582738">
      <w:pPr>
        <w:widowControl w:val="0"/>
      </w:pPr>
    </w:p>
    <w:p w:rsidR="00582738" w:rsidRDefault="00C103EC" w:rsidP="00582738">
      <w:pPr>
        <w:widowControl w:val="0"/>
      </w:pPr>
      <w:hyperlink r:id="rId9" w:history="1">
        <w:r w:rsidR="00582738">
          <w:rPr>
            <w:rStyle w:val="Hyperlink"/>
          </w:rPr>
          <w:t>1/13/2015</w:t>
        </w:r>
      </w:hyperlink>
    </w:p>
    <w:p w:rsidR="00582738" w:rsidRDefault="00C103EC" w:rsidP="00582738">
      <w:hyperlink r:id="rId10" w:history="1">
        <w:r w:rsidR="007A1425" w:rsidRPr="007A1425">
          <w:rPr>
            <w:rStyle w:val="Hyperlink"/>
          </w:rPr>
          <w:t>2/10/2015</w:t>
        </w:r>
      </w:hyperlink>
    </w:p>
    <w:p w:rsidR="007A1425" w:rsidRDefault="007A1425" w:rsidP="00582738"/>
    <w:p w:rsidR="00582738" w:rsidRDefault="00582738" w:rsidP="00582738">
      <w:pPr>
        <w:sectPr w:rsidR="00582738" w:rsidSect="00582738">
          <w:pgSz w:w="12240" w:h="15840" w:code="1"/>
          <w:pgMar w:top="1080" w:right="1440" w:bottom="1080" w:left="1440" w:header="720" w:footer="720" w:gutter="0"/>
          <w:cols w:space="720"/>
          <w:noEndnote/>
          <w:docGrid w:linePitch="360"/>
        </w:sectPr>
      </w:pPr>
    </w:p>
    <w:p w:rsidR="007A1425" w:rsidRPr="00522CE0" w:rsidRDefault="007A1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425" w:rsidRPr="00522CE0" w:rsidRDefault="007A1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425" w:rsidRPr="00522CE0" w:rsidRDefault="007A1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425" w:rsidRPr="00522CE0" w:rsidRDefault="007A1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425" w:rsidRPr="00522CE0" w:rsidRDefault="007A1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425" w:rsidRPr="00522CE0" w:rsidRDefault="007A1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425" w:rsidRPr="00522CE0" w:rsidRDefault="007A1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425" w:rsidRPr="00522CE0" w:rsidRDefault="007A1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425" w:rsidRPr="008F023B" w:rsidRDefault="007A1425" w:rsidP="00061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7A1425" w:rsidRPr="00522CE0" w:rsidRDefault="007A1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425" w:rsidRPr="00522CE0" w:rsidRDefault="007A1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77AE4">
        <w:rPr>
          <w:rFonts w:eastAsia="Times New Roman"/>
        </w:rPr>
        <w:t xml:space="preserve">TO AMEND </w:t>
      </w:r>
      <w:r>
        <w:rPr>
          <w:rFonts w:eastAsia="Times New Roman"/>
        </w:rPr>
        <w:t>SECTION 15</w:t>
      </w:r>
      <w:r>
        <w:rPr>
          <w:rFonts w:eastAsia="Times New Roman"/>
        </w:rPr>
        <w:noBreakHyphen/>
        <w:t>32</w:t>
      </w:r>
      <w:r>
        <w:rPr>
          <w:rFonts w:eastAsia="Times New Roman"/>
        </w:rPr>
        <w:noBreakHyphen/>
      </w:r>
      <w:r w:rsidRPr="00E77AE4">
        <w:rPr>
          <w:rFonts w:eastAsia="Times New Roman"/>
        </w:rPr>
        <w:t>220 OF THE 1976 CODE, RELATING TO NONECONOMIC DAMAGES LIMIT, TO PROVIDE FOR PERSONAL INJURY ACTIONS AGAINST DEFENDANTS AND TO MAKE TECHNICAL CHANGES; TO AMEND CHAPTER 32, TITLE 15, RELATING T</w:t>
      </w:r>
      <w:r>
        <w:rPr>
          <w:rFonts w:eastAsia="Times New Roman"/>
        </w:rPr>
        <w:t>O DAMAGES, BY ADDING SECTION 15</w:t>
      </w:r>
      <w:r>
        <w:rPr>
          <w:rFonts w:eastAsia="Times New Roman"/>
        </w:rPr>
        <w:noBreakHyphen/>
        <w:t>32</w:t>
      </w:r>
      <w:r>
        <w:rPr>
          <w:rFonts w:eastAsia="Times New Roman"/>
        </w:rPr>
        <w:noBreakHyphen/>
      </w:r>
      <w:r w:rsidRPr="00E77AE4">
        <w:rPr>
          <w:rFonts w:eastAsia="Times New Roman"/>
        </w:rPr>
        <w:t>250, TO PROVIDE FOR PLEADINGS IN CLAIMS FOR PUNITIV</w:t>
      </w:r>
      <w:r>
        <w:rPr>
          <w:rFonts w:eastAsia="Times New Roman"/>
        </w:rPr>
        <w:t>E DAMAGES; BY ADDING SECTION 15</w:t>
      </w:r>
      <w:r>
        <w:rPr>
          <w:rFonts w:eastAsia="Times New Roman"/>
        </w:rPr>
        <w:noBreakHyphen/>
        <w:t>32</w:t>
      </w:r>
      <w:r>
        <w:rPr>
          <w:rFonts w:eastAsia="Times New Roman"/>
        </w:rPr>
        <w:noBreakHyphen/>
      </w:r>
      <w:r w:rsidRPr="00E77AE4">
        <w:rPr>
          <w:rFonts w:eastAsia="Times New Roman"/>
        </w:rPr>
        <w:t>260, TO PROVIDE FOR BIFURCATED TRIALS FOR AWARD O</w:t>
      </w:r>
      <w:r>
        <w:rPr>
          <w:rFonts w:eastAsia="Times New Roman"/>
        </w:rPr>
        <w:t>F DAMAGES; BY ADDING SECTION 15</w:t>
      </w:r>
      <w:r>
        <w:rPr>
          <w:rFonts w:eastAsia="Times New Roman"/>
        </w:rPr>
        <w:noBreakHyphen/>
        <w:t>32</w:t>
      </w:r>
      <w:r>
        <w:rPr>
          <w:rFonts w:eastAsia="Times New Roman"/>
        </w:rPr>
        <w:noBreakHyphen/>
      </w:r>
      <w:r w:rsidRPr="00E77AE4">
        <w:rPr>
          <w:rFonts w:eastAsia="Times New Roman"/>
        </w:rPr>
        <w:t>270, TO LIMIT PUNITIVE DA</w:t>
      </w:r>
      <w:r>
        <w:rPr>
          <w:rFonts w:eastAsia="Times New Roman"/>
        </w:rPr>
        <w:t>MAGES; AND BY ADDING SECTION 15</w:t>
      </w:r>
      <w:r>
        <w:rPr>
          <w:rFonts w:eastAsia="Times New Roman"/>
        </w:rPr>
        <w:noBreakHyphen/>
        <w:t>35</w:t>
      </w:r>
      <w:r>
        <w:rPr>
          <w:rFonts w:eastAsia="Times New Roman"/>
        </w:rPr>
        <w:noBreakHyphen/>
      </w:r>
      <w:r w:rsidRPr="00E77AE4">
        <w:rPr>
          <w:rFonts w:eastAsia="Times New Roman"/>
        </w:rPr>
        <w:t>280, TO PROVIDE RESTRICTIONS</w:t>
      </w:r>
      <w:r>
        <w:rPr>
          <w:rFonts w:eastAsia="Times New Roman"/>
        </w:rPr>
        <w:t xml:space="preserve"> FOR AWARDING PUNITIVE DAMAGES;</w:t>
      </w:r>
      <w:r w:rsidRPr="00E77AE4">
        <w:rPr>
          <w:rFonts w:eastAsia="Times New Roman"/>
        </w:rPr>
        <w:t xml:space="preserve"> TO AMEND THE 1976</w:t>
      </w:r>
      <w:r>
        <w:rPr>
          <w:rFonts w:eastAsia="Times New Roman"/>
        </w:rPr>
        <w:t xml:space="preserve"> CODE</w:t>
      </w:r>
      <w:r w:rsidRPr="00E77AE4">
        <w:rPr>
          <w:rFonts w:eastAsia="Times New Roman"/>
        </w:rPr>
        <w:t>, BY ADDING ARTICLE 8 TO CHAPTER 23, TITLE 58, SO AS TO ESTABLISH THE CDL DRIVER EMPLOYMENT PROTECTION ACT WHICH PROVIDES THAT CIVIL LIABILITY CLAIMS MADE AGAINST AN EMPLOYER OF A PERSON WHO HOLDS A VALID COMMERCIAL DRIVER</w:t>
      </w:r>
      <w:r w:rsidRPr="00A74B24">
        <w:rPr>
          <w:rFonts w:eastAsia="Times New Roman"/>
        </w:rPr>
        <w:t>’</w:t>
      </w:r>
      <w:r w:rsidRPr="00E77AE4">
        <w:rPr>
          <w:rFonts w:eastAsia="Times New Roman"/>
        </w:rPr>
        <w:t>S LICENSE BASED ON ANY THEORY OF NEGLIGENT HIRING, TRAINING, RETENTION, OR ENTRUSTMENT MUST BE CONSIDERED IN THE SECOND PHASE OF A BIFURCATED TRIAL P</w:t>
      </w:r>
      <w:r>
        <w:rPr>
          <w:rFonts w:eastAsia="Times New Roman"/>
        </w:rPr>
        <w:t>URSUANT TO SECTION 15</w:t>
      </w:r>
      <w:r>
        <w:rPr>
          <w:rFonts w:eastAsia="Times New Roman"/>
        </w:rPr>
        <w:noBreakHyphen/>
        <w:t>32</w:t>
      </w:r>
      <w:r>
        <w:rPr>
          <w:rFonts w:eastAsia="Times New Roman"/>
        </w:rPr>
        <w:noBreakHyphen/>
      </w:r>
      <w:r w:rsidRPr="00E77AE4">
        <w:rPr>
          <w:rFonts w:eastAsia="Times New Roman"/>
        </w:rPr>
        <w:t>520(E), IF THERE IS EVIDENCE TO SUPPORT AN AWARD OF PUNITIVE DAMAGES, BUT PUNITIVE DAMAGES MAY NOT BE AWARDED AGAINST AN EMPLOYER SOLELY ON THE</w:t>
      </w:r>
      <w:r>
        <w:rPr>
          <w:rFonts w:eastAsia="Times New Roman"/>
        </w:rPr>
        <w:t xml:space="preserve"> BASIS OF VICARIOUS LIABILITY; </w:t>
      </w:r>
      <w:r w:rsidRPr="00E77AE4">
        <w:rPr>
          <w:rFonts w:eastAsia="Times New Roman"/>
        </w:rPr>
        <w:t>TO AMEND SECTION 15</w:t>
      </w:r>
      <w:r>
        <w:rPr>
          <w:rFonts w:eastAsia="Times New Roman"/>
        </w:rPr>
        <w:noBreakHyphen/>
      </w:r>
      <w:r w:rsidRPr="00E77AE4">
        <w:rPr>
          <w:rFonts w:eastAsia="Times New Roman"/>
        </w:rPr>
        <w:t>73</w:t>
      </w:r>
      <w:r>
        <w:rPr>
          <w:rFonts w:eastAsia="Times New Roman"/>
        </w:rPr>
        <w:noBreakHyphen/>
      </w:r>
      <w:r w:rsidRPr="00E77AE4">
        <w:rPr>
          <w:rFonts w:eastAsia="Times New Roman"/>
        </w:rPr>
        <w:t>10, RELATING TO SELLER LIABILITY IN PRODUCTS LIABILITY CLAIMS</w:t>
      </w:r>
      <w:r>
        <w:rPr>
          <w:rFonts w:eastAsia="Times New Roman"/>
        </w:rPr>
        <w:t>,</w:t>
      </w:r>
      <w:r w:rsidRPr="00E77AE4">
        <w:rPr>
          <w:rFonts w:eastAsia="Times New Roman"/>
        </w:rPr>
        <w:t xml:space="preserve"> TO PROHIBIT CLAIMS AGAINST SELLERS UNLESS SPECIFIED CONDITIONS ARE MET</w:t>
      </w:r>
      <w:r>
        <w:rPr>
          <w:rFonts w:eastAsia="Times New Roman"/>
        </w:rPr>
        <w:t xml:space="preserve">; </w:t>
      </w:r>
      <w:r w:rsidRPr="00990070">
        <w:rPr>
          <w:rFonts w:eastAsia="Times New Roman"/>
        </w:rPr>
        <w:t>TO REPEAL ARTICLE 5, CHAPTER 32, TITLE 15 RELATING TO PUNITIVE DAMAGES.</w:t>
      </w:r>
    </w:p>
    <w:p w:rsidR="007A1425" w:rsidRDefault="007A1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A1425" w:rsidRDefault="007A1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7A1425" w:rsidRDefault="007A1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425" w:rsidRDefault="007A1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15</w:t>
      </w:r>
      <w:r>
        <w:rPr>
          <w:rFonts w:eastAsia="Times New Roman"/>
        </w:rPr>
        <w:noBreakHyphen/>
        <w:t>32</w:t>
      </w:r>
      <w:r>
        <w:rPr>
          <w:rFonts w:eastAsia="Times New Roman"/>
        </w:rPr>
        <w:noBreakHyphen/>
        <w:t>220 of the 1976 Code is amended to read:</w:t>
      </w:r>
    </w:p>
    <w:p w:rsidR="007A1425" w:rsidRDefault="007A1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425" w:rsidRDefault="007A1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15</w:t>
      </w:r>
      <w:r>
        <w:rPr>
          <w:rFonts w:eastAsia="Times New Roman"/>
        </w:rPr>
        <w:noBreakHyphen/>
        <w:t>32</w:t>
      </w:r>
      <w:r>
        <w:rPr>
          <w:rFonts w:eastAsia="Times New Roman"/>
        </w:rPr>
        <w:noBreakHyphen/>
        <w:t>220.</w:t>
      </w:r>
      <w:r>
        <w:rPr>
          <w:rFonts w:eastAsia="Times New Roman"/>
        </w:rPr>
        <w:tab/>
        <w:t>(A)</w:t>
      </w:r>
      <w:r>
        <w:rPr>
          <w:rFonts w:eastAsia="Times New Roman"/>
        </w:rPr>
        <w:tab/>
      </w:r>
      <w:r w:rsidRPr="0009657E">
        <w:rPr>
          <w:rFonts w:eastAsia="Times New Roman"/>
        </w:rPr>
        <w:t xml:space="preserve">In </w:t>
      </w:r>
      <w:r w:rsidRPr="0009657E">
        <w:rPr>
          <w:rFonts w:eastAsia="Times New Roman"/>
          <w:strike/>
        </w:rPr>
        <w:t>an</w:t>
      </w:r>
      <w:r w:rsidRPr="0009657E">
        <w:rPr>
          <w:rFonts w:eastAsia="Times New Roman"/>
        </w:rPr>
        <w:t xml:space="preserve"> </w:t>
      </w:r>
      <w:r w:rsidRPr="0009657E">
        <w:rPr>
          <w:rFonts w:eastAsia="Times New Roman"/>
          <w:u w:val="single"/>
        </w:rPr>
        <w:t>a</w:t>
      </w:r>
      <w:r w:rsidRPr="00F15074">
        <w:rPr>
          <w:rFonts w:eastAsia="Times New Roman"/>
          <w:u w:val="single"/>
        </w:rPr>
        <w:t xml:space="preserve"> </w:t>
      </w:r>
      <w:r w:rsidRPr="0009657E">
        <w:rPr>
          <w:rFonts w:eastAsia="Times New Roman"/>
          <w:u w:val="single"/>
        </w:rPr>
        <w:t>personal injury</w:t>
      </w:r>
      <w:r w:rsidRPr="0009657E">
        <w:rPr>
          <w:rFonts w:eastAsia="Times New Roman"/>
        </w:rPr>
        <w:t xml:space="preserve"> action </w:t>
      </w:r>
      <w:r w:rsidRPr="0009657E">
        <w:rPr>
          <w:rFonts w:eastAsia="Times New Roman"/>
          <w:strike/>
        </w:rPr>
        <w:t>on a medical malpractice claim</w:t>
      </w:r>
      <w:r w:rsidRPr="0009657E">
        <w:rPr>
          <w:rFonts w:eastAsia="Times New Roman"/>
        </w:rPr>
        <w:t xml:space="preserve"> when final judgment is rendered against a single </w:t>
      </w:r>
      <w:r w:rsidRPr="0009657E">
        <w:rPr>
          <w:rFonts w:eastAsia="Times New Roman"/>
          <w:strike/>
        </w:rPr>
        <w:t>health care provider</w:t>
      </w:r>
      <w:r w:rsidRPr="0009657E">
        <w:rPr>
          <w:rFonts w:eastAsia="Times New Roman"/>
        </w:rPr>
        <w:t xml:space="preserve"> </w:t>
      </w:r>
      <w:r w:rsidRPr="0009657E">
        <w:rPr>
          <w:rFonts w:eastAsia="Times New Roman"/>
          <w:u w:val="single"/>
        </w:rPr>
        <w:t>defendant</w:t>
      </w:r>
      <w:r w:rsidRPr="0009657E">
        <w:rPr>
          <w:rFonts w:eastAsia="Times New Roman"/>
        </w:rPr>
        <w:t xml:space="preserve">, the limit of civil liability for noneconomic damages of the </w:t>
      </w:r>
      <w:r w:rsidRPr="0009657E">
        <w:rPr>
          <w:rFonts w:eastAsia="Times New Roman"/>
          <w:strike/>
        </w:rPr>
        <w:t>health care provider</w:t>
      </w:r>
      <w:r w:rsidRPr="0009657E">
        <w:rPr>
          <w:rFonts w:eastAsia="Times New Roman"/>
        </w:rPr>
        <w:t xml:space="preserve"> </w:t>
      </w:r>
      <w:r w:rsidRPr="0009657E">
        <w:rPr>
          <w:rFonts w:eastAsia="Times New Roman"/>
          <w:u w:val="single"/>
        </w:rPr>
        <w:t>defendant</w:t>
      </w:r>
      <w:r w:rsidRPr="0009657E">
        <w:rPr>
          <w:rFonts w:eastAsia="Times New Roman"/>
        </w:rPr>
        <w:t xml:space="preserve"> is limited to an amount not to exceed three hundred fifty thousand dollars for each claimant, regardless of the number of separate causes of action on which the claim is based, except as provided in subsection </w:t>
      </w:r>
      <w:r w:rsidRPr="0009657E">
        <w:rPr>
          <w:rFonts w:eastAsia="Times New Roman"/>
          <w:strike/>
        </w:rPr>
        <w:t>(E)</w:t>
      </w:r>
      <w:r w:rsidRPr="0009657E">
        <w:rPr>
          <w:rFonts w:eastAsia="Times New Roman"/>
          <w:u w:val="single"/>
        </w:rPr>
        <w:t>(D)</w:t>
      </w:r>
      <w:r w:rsidRPr="0009657E">
        <w:rPr>
          <w:rFonts w:eastAsia="Times New Roman"/>
        </w:rPr>
        <w:t>.</w:t>
      </w:r>
    </w:p>
    <w:p w:rsidR="007A1425" w:rsidRDefault="007A1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09657E">
        <w:rPr>
          <w:rFonts w:eastAsia="Times New Roman"/>
        </w:rPr>
        <w:t xml:space="preserve">In </w:t>
      </w:r>
      <w:r w:rsidRPr="0009657E">
        <w:rPr>
          <w:rFonts w:eastAsia="Times New Roman"/>
          <w:strike/>
        </w:rPr>
        <w:t>an</w:t>
      </w:r>
      <w:r w:rsidRPr="0009657E">
        <w:rPr>
          <w:rFonts w:eastAsia="Times New Roman"/>
        </w:rPr>
        <w:t xml:space="preserve"> </w:t>
      </w:r>
      <w:r w:rsidRPr="0009657E">
        <w:rPr>
          <w:rFonts w:eastAsia="Times New Roman"/>
          <w:u w:val="single"/>
        </w:rPr>
        <w:t>a</w:t>
      </w:r>
      <w:r w:rsidRPr="00F15074">
        <w:rPr>
          <w:rFonts w:eastAsia="Times New Roman"/>
          <w:u w:val="single"/>
        </w:rPr>
        <w:t xml:space="preserve"> </w:t>
      </w:r>
      <w:r w:rsidRPr="0009657E">
        <w:rPr>
          <w:rFonts w:eastAsia="Times New Roman"/>
          <w:u w:val="single"/>
        </w:rPr>
        <w:t>personal injury</w:t>
      </w:r>
      <w:r w:rsidRPr="0009657E">
        <w:rPr>
          <w:rFonts w:eastAsia="Times New Roman"/>
        </w:rPr>
        <w:t xml:space="preserve"> action </w:t>
      </w:r>
      <w:r w:rsidRPr="0009657E">
        <w:rPr>
          <w:rFonts w:eastAsia="Times New Roman"/>
          <w:strike/>
        </w:rPr>
        <w:t>on a medical malpractice claim</w:t>
      </w:r>
      <w:r w:rsidRPr="0009657E">
        <w:rPr>
          <w:rFonts w:eastAsia="Times New Roman"/>
        </w:rPr>
        <w:t xml:space="preserve"> when final judgment is rendered against </w:t>
      </w:r>
      <w:r w:rsidRPr="00425751">
        <w:rPr>
          <w:rFonts w:eastAsia="Times New Roman"/>
          <w:strike/>
        </w:rPr>
        <w:t xml:space="preserve">a </w:t>
      </w:r>
      <w:r w:rsidRPr="0009657E">
        <w:rPr>
          <w:rFonts w:eastAsia="Times New Roman"/>
          <w:strike/>
        </w:rPr>
        <w:t>single health care institution</w:t>
      </w:r>
      <w:r w:rsidRPr="0009657E">
        <w:rPr>
          <w:rFonts w:eastAsia="Times New Roman"/>
        </w:rPr>
        <w:t xml:space="preserve"> </w:t>
      </w:r>
      <w:r w:rsidRPr="0009657E">
        <w:rPr>
          <w:rFonts w:eastAsia="Times New Roman"/>
          <w:u w:val="single"/>
        </w:rPr>
        <w:t>more than one defendant</w:t>
      </w:r>
      <w:r w:rsidRPr="0009657E">
        <w:rPr>
          <w:rFonts w:eastAsia="Times New Roman"/>
        </w:rPr>
        <w:t xml:space="preserve">, the limit of civil liability for noneconomic damages </w:t>
      </w:r>
      <w:r w:rsidRPr="0009657E">
        <w:rPr>
          <w:rFonts w:eastAsia="Times New Roman"/>
          <w:u w:val="single"/>
        </w:rPr>
        <w:t>for each defendant</w:t>
      </w:r>
      <w:r w:rsidRPr="0009657E">
        <w:rPr>
          <w:rFonts w:eastAsia="Times New Roman"/>
        </w:rPr>
        <w:t xml:space="preserve"> is limited to an amount not to exceed three hundred fifty thousand dollars for each claimant, regardless of the number of separate causes of action on which the claim is based, except as provided in subsection </w:t>
      </w:r>
      <w:r w:rsidRPr="0009657E">
        <w:rPr>
          <w:rFonts w:eastAsia="Times New Roman"/>
          <w:strike/>
        </w:rPr>
        <w:t>(E)</w:t>
      </w:r>
      <w:r w:rsidRPr="0009657E">
        <w:rPr>
          <w:rFonts w:eastAsia="Times New Roman"/>
          <w:u w:val="single"/>
        </w:rPr>
        <w:t>(D)</w:t>
      </w:r>
      <w:r w:rsidRPr="0009657E">
        <w:rPr>
          <w:rFonts w:eastAsia="Times New Roman"/>
        </w:rPr>
        <w:t>.</w:t>
      </w:r>
    </w:p>
    <w:p w:rsidR="007A1425" w:rsidRDefault="007A1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09657E">
        <w:rPr>
          <w:rFonts w:eastAsia="Times New Roman"/>
          <w:strike/>
        </w:rPr>
        <w:t>(C)</w:t>
      </w:r>
      <w:r w:rsidRPr="00F15074">
        <w:rPr>
          <w:rFonts w:eastAsia="Times New Roman"/>
        </w:rPr>
        <w:tab/>
      </w:r>
      <w:r w:rsidRPr="0009657E">
        <w:rPr>
          <w:rFonts w:eastAsia="Times New Roman"/>
          <w:strike/>
        </w:rPr>
        <w:t>In an action on a medical malpractice claim when final judgment is rendered against more than one health care institution, or more than one health care provider, or any combination thereof, the limit of civil liability for noneconomic damages for each health care institution and each health care provider is limited to an amount not to exceed three hundred fifty thousand dollars for each claimant, and the limit of civil liability for noneconomic damages for all health care institutions and health care providers is limited to an amount not to exceed one million fifty thousand dollars for each claimant, except as provided in subsection (E).</w:t>
      </w:r>
    </w:p>
    <w:p w:rsidR="007A1425" w:rsidRPr="0009657E" w:rsidRDefault="007A1425" w:rsidP="0009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09657E">
        <w:rPr>
          <w:rFonts w:eastAsia="Times New Roman"/>
          <w:strike/>
        </w:rPr>
        <w:t>(D)(1)</w:t>
      </w:r>
      <w:r>
        <w:rPr>
          <w:rFonts w:eastAsia="Times New Roman"/>
          <w:u w:val="single"/>
        </w:rPr>
        <w:t>(C)</w:t>
      </w:r>
      <w:r>
        <w:rPr>
          <w:rFonts w:eastAsia="Times New Roman"/>
        </w:rPr>
        <w:tab/>
      </w:r>
      <w:r w:rsidRPr="0009657E">
        <w:rPr>
          <w:rFonts w:eastAsia="Times New Roman"/>
        </w:rPr>
        <w:t xml:space="preserve">The provisions of this section do not limit the amount of compensation for economic damages suffered by each claimant in a </w:t>
      </w:r>
      <w:r w:rsidRPr="0009657E">
        <w:rPr>
          <w:rFonts w:eastAsia="Times New Roman"/>
          <w:strike/>
        </w:rPr>
        <w:t>medical malpractice claim</w:t>
      </w:r>
      <w:r w:rsidRPr="0009657E">
        <w:rPr>
          <w:rFonts w:eastAsia="Times New Roman"/>
        </w:rPr>
        <w:t xml:space="preserve"> </w:t>
      </w:r>
      <w:r w:rsidRPr="0009657E">
        <w:rPr>
          <w:rFonts w:eastAsia="Times New Roman"/>
          <w:u w:val="single"/>
        </w:rPr>
        <w:t>personal injury action</w:t>
      </w:r>
      <w:r w:rsidRPr="0009657E">
        <w:rPr>
          <w:rFonts w:eastAsia="Times New Roman"/>
        </w:rPr>
        <w:t>.</w:t>
      </w:r>
    </w:p>
    <w:p w:rsidR="007A1425" w:rsidRDefault="007A1425" w:rsidP="0009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9657E">
        <w:rPr>
          <w:rFonts w:eastAsia="Times New Roman"/>
        </w:rPr>
        <w:tab/>
      </w:r>
      <w:r w:rsidRPr="0009657E">
        <w:rPr>
          <w:rFonts w:eastAsia="Times New Roman"/>
        </w:rPr>
        <w:tab/>
      </w:r>
      <w:r w:rsidRPr="0009657E">
        <w:rPr>
          <w:rFonts w:eastAsia="Times New Roman"/>
          <w:strike/>
        </w:rPr>
        <w:t>(2)</w:t>
      </w:r>
      <w:r w:rsidRPr="00BE6ADC">
        <w:rPr>
          <w:rFonts w:eastAsia="Times New Roman"/>
        </w:rPr>
        <w:tab/>
      </w:r>
      <w:r w:rsidRPr="0009657E">
        <w:rPr>
          <w:rFonts w:eastAsia="Times New Roman"/>
          <w:strike/>
        </w:rPr>
        <w:t>The provisions of this section do not limit the amount of punitive damages in cases where the plaintiff is able to prove an entitlement to an award of punitive damages as required by law.</w:t>
      </w:r>
    </w:p>
    <w:p w:rsidR="007A1425" w:rsidRDefault="007A1425" w:rsidP="0009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09657E">
        <w:rPr>
          <w:rFonts w:eastAsia="Times New Roman"/>
          <w:strike/>
        </w:rPr>
        <w:t>(E)</w:t>
      </w:r>
      <w:r w:rsidRPr="0009657E">
        <w:rPr>
          <w:rFonts w:eastAsia="Times New Roman"/>
          <w:u w:val="single"/>
        </w:rPr>
        <w:t>(D)</w:t>
      </w:r>
      <w:r>
        <w:rPr>
          <w:rFonts w:eastAsia="Times New Roman"/>
        </w:rPr>
        <w:tab/>
      </w:r>
      <w:r w:rsidRPr="0009657E">
        <w:rPr>
          <w:rFonts w:eastAsia="Times New Roman"/>
        </w:rPr>
        <w:t xml:space="preserve">The limitations for noneconomic damages rendered against any </w:t>
      </w:r>
      <w:r w:rsidRPr="0009657E">
        <w:rPr>
          <w:rFonts w:eastAsia="Times New Roman"/>
          <w:strike/>
        </w:rPr>
        <w:t xml:space="preserve">health care provider or health care institution </w:t>
      </w:r>
      <w:r w:rsidRPr="0009657E">
        <w:rPr>
          <w:rFonts w:eastAsia="Times New Roman"/>
          <w:u w:val="single"/>
        </w:rPr>
        <w:t>defendant</w:t>
      </w:r>
      <w:r w:rsidRPr="0009657E">
        <w:rPr>
          <w:rFonts w:eastAsia="Times New Roman"/>
        </w:rPr>
        <w:t xml:space="preserve"> do not apply if the jury or court determines that the defendant was grossly negligent, wilful, wanton, or reckless, and such conduct was the proximate cause of the claimant</w:t>
      </w:r>
      <w:r w:rsidRPr="00A74B24">
        <w:rPr>
          <w:rFonts w:eastAsia="Times New Roman"/>
        </w:rPr>
        <w:t>’</w:t>
      </w:r>
      <w:r w:rsidRPr="0009657E">
        <w:rPr>
          <w:rFonts w:eastAsia="Times New Roman"/>
        </w:rPr>
        <w:t>s noneconomic damages, or if the defendant has engaged in fraud or misrepresentation related to the claim, or if the defendant altered or destroyed medical records with the purpose of avoiding a claim or liability to the claimant.</w:t>
      </w:r>
    </w:p>
    <w:p w:rsidR="007A1425" w:rsidRDefault="007A1425" w:rsidP="0009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09657E">
        <w:rPr>
          <w:rFonts w:eastAsia="Times New Roman"/>
          <w:strike/>
        </w:rPr>
        <w:t>(F)</w:t>
      </w:r>
      <w:r w:rsidRPr="0009657E">
        <w:rPr>
          <w:rFonts w:eastAsia="Times New Roman"/>
          <w:u w:val="single"/>
        </w:rPr>
        <w:t>(E)</w:t>
      </w:r>
      <w:r>
        <w:rPr>
          <w:rFonts w:eastAsia="Times New Roman"/>
        </w:rPr>
        <w:tab/>
      </w:r>
      <w:r w:rsidRPr="0009657E">
        <w:rPr>
          <w:rFonts w:eastAsia="Times New Roman"/>
        </w:rPr>
        <w:t xml:space="preserve">At the end of each calendar year, the State Budget and Control Board, Board of Economic Advisors must determine the increase or decrease in the ratio of the Consumer Price Index to the index as of December 31 of the previous year, and the limitation on compensation for noneconomic damages pursuant to </w:t>
      </w:r>
      <w:r w:rsidRPr="0009657E">
        <w:rPr>
          <w:rFonts w:eastAsia="Times New Roman"/>
          <w:strike/>
        </w:rPr>
        <w:t>subsection</w:t>
      </w:r>
      <w:r w:rsidRPr="0009657E">
        <w:rPr>
          <w:rFonts w:eastAsia="Times New Roman"/>
        </w:rPr>
        <w:t xml:space="preserve"> </w:t>
      </w:r>
      <w:r w:rsidRPr="0009657E">
        <w:rPr>
          <w:rFonts w:eastAsia="Times New Roman"/>
          <w:u w:val="single"/>
        </w:rPr>
        <w:t>subsections</w:t>
      </w:r>
      <w:r w:rsidRPr="0009657E">
        <w:rPr>
          <w:rFonts w:eastAsia="Times New Roman"/>
        </w:rPr>
        <w:t xml:space="preserve"> (A)</w:t>
      </w:r>
      <w:r w:rsidRPr="00BE6ADC">
        <w:rPr>
          <w:rFonts w:eastAsia="Times New Roman"/>
          <w:strike/>
        </w:rPr>
        <w:t>,</w:t>
      </w:r>
      <w:r w:rsidRPr="0009657E">
        <w:rPr>
          <w:rFonts w:eastAsia="Times New Roman"/>
        </w:rPr>
        <w:t xml:space="preserve"> </w:t>
      </w:r>
      <w:r w:rsidRPr="0009657E">
        <w:rPr>
          <w:rFonts w:eastAsia="Times New Roman"/>
          <w:u w:val="single"/>
        </w:rPr>
        <w:t>and</w:t>
      </w:r>
      <w:r w:rsidRPr="0009657E">
        <w:rPr>
          <w:rFonts w:eastAsia="Times New Roman"/>
        </w:rPr>
        <w:t xml:space="preserve"> (B)</w:t>
      </w:r>
      <w:r w:rsidRPr="0009657E">
        <w:rPr>
          <w:rFonts w:eastAsia="Times New Roman"/>
          <w:strike/>
        </w:rPr>
        <w:t>, or (C)</w:t>
      </w:r>
      <w:r w:rsidRPr="0009657E">
        <w:rPr>
          <w:rFonts w:eastAsia="Times New Roman"/>
        </w:rPr>
        <w:t xml:space="preserve"> must be increased or decreased accordingly. As soon as practicable after this adjustment is calculated, the Director of the State Budget and Control Board shall submit the revised limitation on compensation to the State Register for pu</w:t>
      </w:r>
      <w:r>
        <w:rPr>
          <w:rFonts w:eastAsia="Times New Roman"/>
        </w:rPr>
        <w:t>blication pursuant to Section 1</w:t>
      </w:r>
      <w:r>
        <w:rPr>
          <w:rFonts w:eastAsia="Times New Roman"/>
        </w:rPr>
        <w:noBreakHyphen/>
        <w:t>23</w:t>
      </w:r>
      <w:r>
        <w:rPr>
          <w:rFonts w:eastAsia="Times New Roman"/>
        </w:rPr>
        <w:noBreakHyphen/>
      </w:r>
      <w:r w:rsidRPr="0009657E">
        <w:rPr>
          <w:rFonts w:eastAsia="Times New Roman"/>
        </w:rPr>
        <w:t xml:space="preserve">40(2), and the revised limitation becomes effective upon publication in the State Register. For purposes of this subsection, </w:t>
      </w:r>
      <w:r w:rsidRPr="00A74B24">
        <w:rPr>
          <w:rFonts w:eastAsia="Times New Roman"/>
        </w:rPr>
        <w:t>‘</w:t>
      </w:r>
      <w:r w:rsidRPr="0009657E">
        <w:rPr>
          <w:rFonts w:eastAsia="Times New Roman"/>
        </w:rPr>
        <w:t>Consumer Price Index</w:t>
      </w:r>
      <w:r w:rsidRPr="00A74B24">
        <w:rPr>
          <w:rFonts w:eastAsia="Times New Roman"/>
        </w:rPr>
        <w:t>’</w:t>
      </w:r>
      <w:r w:rsidRPr="0009657E">
        <w:rPr>
          <w:rFonts w:eastAsia="Times New Roman"/>
        </w:rPr>
        <w:t xml:space="preserve"> means the Consumer Price Index for All Urban Consumers as published by the United States Department of Labor, Bureau of Labor Statistics. </w:t>
      </w:r>
      <w:r>
        <w:rPr>
          <w:rFonts w:eastAsia="Times New Roman"/>
          <w:u w:val="single"/>
        </w:rPr>
        <w:t xml:space="preserve">Upon the effective date of this act and for the remainder of the calendar year following the effective date of this act, </w:t>
      </w:r>
      <w:r w:rsidRPr="0009657E">
        <w:rPr>
          <w:rFonts w:eastAsia="Times New Roman"/>
          <w:u w:val="single"/>
        </w:rPr>
        <w:t>the adjusted limits in effect as provided by Act</w:t>
      </w:r>
      <w:r>
        <w:rPr>
          <w:rFonts w:eastAsia="Times New Roman"/>
          <w:u w:val="single"/>
        </w:rPr>
        <w:t xml:space="preserve"> 32 of 2005 shall apply. In subsequent calendar years those limits shall be adjusted in accordance with the provisions of this subsection.</w:t>
      </w:r>
      <w:r w:rsidRPr="0009657E">
        <w:rPr>
          <w:rFonts w:eastAsia="Times New Roman"/>
        </w:rPr>
        <w:t>”</w:t>
      </w:r>
    </w:p>
    <w:p w:rsidR="007A1425" w:rsidRDefault="007A1425" w:rsidP="0009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425" w:rsidRDefault="007A1425" w:rsidP="0009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Chapter 32, Title 15, of the 1976 Code is amended by adding:</w:t>
      </w:r>
    </w:p>
    <w:p w:rsidR="007A1425" w:rsidRDefault="007A1425" w:rsidP="0009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425" w:rsidRPr="00412B82" w:rsidRDefault="007A1425"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15</w:t>
      </w:r>
      <w:r>
        <w:rPr>
          <w:rFonts w:eastAsia="Times New Roman"/>
        </w:rPr>
        <w:noBreakHyphen/>
        <w:t>32</w:t>
      </w:r>
      <w:r>
        <w:rPr>
          <w:rFonts w:eastAsia="Times New Roman"/>
        </w:rPr>
        <w:noBreakHyphen/>
      </w:r>
      <w:r w:rsidRPr="00412B82">
        <w:rPr>
          <w:rFonts w:eastAsia="Times New Roman"/>
        </w:rPr>
        <w:t>250.</w:t>
      </w:r>
      <w:r w:rsidRPr="00412B82">
        <w:rPr>
          <w:rFonts w:eastAsia="Times New Roman"/>
        </w:rPr>
        <w:tab/>
        <w:t>(A)</w:t>
      </w:r>
      <w:r w:rsidRPr="00412B82">
        <w:rPr>
          <w:rFonts w:eastAsia="Times New Roman"/>
        </w:rPr>
        <w:tab/>
        <w:t>A claim for punitive damages must be specifical</w:t>
      </w:r>
      <w:r>
        <w:rPr>
          <w:rFonts w:eastAsia="Times New Roman"/>
        </w:rPr>
        <w:t>ly prayed for in the complaint.</w:t>
      </w:r>
    </w:p>
    <w:p w:rsidR="007A1425" w:rsidRPr="00412B82" w:rsidRDefault="007A1425"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t>(B)</w:t>
      </w:r>
      <w:r w:rsidRPr="00412B82">
        <w:rPr>
          <w:rFonts w:eastAsia="Times New Roman"/>
        </w:rPr>
        <w:tab/>
        <w:t xml:space="preserve">The plaintiff </w:t>
      </w:r>
      <w:r>
        <w:rPr>
          <w:rFonts w:eastAsia="Times New Roman"/>
        </w:rPr>
        <w:t>must specifically plead either:</w:t>
      </w:r>
    </w:p>
    <w:p w:rsidR="007A1425" w:rsidRPr="00412B82" w:rsidRDefault="007A1425"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r>
      <w:r w:rsidRPr="00412B82">
        <w:rPr>
          <w:rFonts w:eastAsia="Times New Roman"/>
        </w:rPr>
        <w:tab/>
        <w:t>(1)</w:t>
      </w:r>
      <w:r w:rsidRPr="00412B82">
        <w:rPr>
          <w:rFonts w:eastAsia="Times New Roman"/>
        </w:rPr>
        <w:tab/>
        <w:t>that at least thirty days in advance of filing the complaint, that the plaintiff has given notice of seeking damages pursuant to this article and that in good faith a reasonable settlement could not be r</w:t>
      </w:r>
      <w:r>
        <w:rPr>
          <w:rFonts w:eastAsia="Times New Roman"/>
        </w:rPr>
        <w:t>eached; or</w:t>
      </w:r>
    </w:p>
    <w:p w:rsidR="007A1425" w:rsidRPr="00412B82" w:rsidRDefault="007A1425"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r>
      <w:r w:rsidRPr="00412B82">
        <w:rPr>
          <w:rFonts w:eastAsia="Times New Roman"/>
        </w:rPr>
        <w:tab/>
        <w:t>(2)</w:t>
      </w:r>
      <w:r w:rsidRPr="00412B82">
        <w:rPr>
          <w:rFonts w:eastAsia="Times New Roman"/>
        </w:rPr>
        <w:tab/>
        <w:t>that thirty days notice under this section could not be given be</w:t>
      </w:r>
      <w:r>
        <w:rPr>
          <w:rFonts w:eastAsia="Times New Roman"/>
        </w:rPr>
        <w:t>cause of exigent circumstances.</w:t>
      </w:r>
    </w:p>
    <w:p w:rsidR="007A1425" w:rsidRPr="00412B82" w:rsidRDefault="007A1425"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t>(C)</w:t>
      </w:r>
      <w:r w:rsidRPr="00412B82">
        <w:rPr>
          <w:rFonts w:eastAsia="Times New Roman"/>
        </w:rPr>
        <w:tab/>
        <w:t>The plaintiff shall not specifically plead an amount of punitive damages, only that punitive da</w:t>
      </w:r>
      <w:r>
        <w:rPr>
          <w:rFonts w:eastAsia="Times New Roman"/>
        </w:rPr>
        <w:t>mages are sought in the action.</w:t>
      </w:r>
    </w:p>
    <w:p w:rsidR="007A1425" w:rsidRPr="00412B82" w:rsidRDefault="007A1425"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t>(D)</w:t>
      </w:r>
      <w:r w:rsidRPr="00412B82">
        <w:rPr>
          <w:rFonts w:eastAsia="Times New Roman"/>
        </w:rPr>
        <w:tab/>
        <w:t>The prayer for punitive damages must be stricken prior to trial by the court, unless the plaintiff presents prima facie evidence sufficient to sustain an award of punitive damages under this chapter to the court at a pretrial hearing</w:t>
      </w:r>
      <w:r>
        <w:rPr>
          <w:rFonts w:eastAsia="Times New Roman"/>
        </w:rPr>
        <w:t>.</w:t>
      </w:r>
    </w:p>
    <w:p w:rsidR="007A1425" w:rsidRPr="00412B82" w:rsidRDefault="007A1425"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15</w:t>
      </w:r>
      <w:r>
        <w:rPr>
          <w:rFonts w:eastAsia="Times New Roman"/>
        </w:rPr>
        <w:noBreakHyphen/>
        <w:t>32</w:t>
      </w:r>
      <w:r>
        <w:rPr>
          <w:rFonts w:eastAsia="Times New Roman"/>
        </w:rPr>
        <w:noBreakHyphen/>
        <w:t>260.</w:t>
      </w:r>
      <w:r>
        <w:rPr>
          <w:rFonts w:eastAsia="Times New Roman"/>
        </w:rPr>
        <w:tab/>
      </w:r>
      <w:r w:rsidRPr="00412B82">
        <w:rPr>
          <w:rFonts w:eastAsia="Times New Roman"/>
        </w:rPr>
        <w:t>(A)</w:t>
      </w:r>
      <w:r w:rsidRPr="00412B82">
        <w:rPr>
          <w:rFonts w:eastAsia="Times New Roman"/>
        </w:rPr>
        <w:tab/>
        <w:t>All actions tried before a jury involving punitive damages must, if requested by any defendant, be conducted in a bifurcat</w:t>
      </w:r>
      <w:r>
        <w:rPr>
          <w:rFonts w:eastAsia="Times New Roman"/>
        </w:rPr>
        <w:t>ed manner before the same jury.</w:t>
      </w:r>
    </w:p>
    <w:p w:rsidR="007A1425" w:rsidRPr="00412B82" w:rsidRDefault="007A1425"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t>(B)</w:t>
      </w:r>
      <w:r w:rsidRPr="00412B82">
        <w:rPr>
          <w:rFonts w:eastAsia="Times New Roman"/>
        </w:rPr>
        <w:tab/>
        <w:t>In the first stage of a bifurcated trial, the jury shall determine liability for compensatory damages and the amount of compensatory or nominal damages. Evidence relevant only to the issues of punitive damages i</w:t>
      </w:r>
      <w:r>
        <w:rPr>
          <w:rFonts w:eastAsia="Times New Roman"/>
        </w:rPr>
        <w:t>s not admissible at this stage.</w:t>
      </w:r>
    </w:p>
    <w:p w:rsidR="007A1425" w:rsidRPr="00412B82" w:rsidRDefault="007A1425"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t>(C)</w:t>
      </w:r>
      <w:r w:rsidRPr="00412B82">
        <w:rPr>
          <w:rFonts w:eastAsia="Times New Roman"/>
        </w:rPr>
        <w:tab/>
        <w:t>Punitive damages may be considered if compensatory damages have been awarded in the first stage of the trial. An award of nominal damages cannot suppor</w:t>
      </w:r>
      <w:r>
        <w:rPr>
          <w:rFonts w:eastAsia="Times New Roman"/>
        </w:rPr>
        <w:t>t an award of punitive damages.</w:t>
      </w:r>
    </w:p>
    <w:p w:rsidR="007A1425" w:rsidRPr="00412B82" w:rsidRDefault="007A1425"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t>(D)</w:t>
      </w:r>
      <w:r w:rsidRPr="00412B82">
        <w:rPr>
          <w:rFonts w:eastAsia="Times New Roman"/>
        </w:rPr>
        <w:tab/>
        <w:t>Punitive damages may only be awarded if the plaintiff proves by clear and convincing evidence that his harm was the result of actual malice. This burden of proof may not be satisfied by proof of any degree of negligen</w:t>
      </w:r>
      <w:r>
        <w:rPr>
          <w:rFonts w:eastAsia="Times New Roman"/>
        </w:rPr>
        <w:t>ce, including gross negligence.</w:t>
      </w:r>
    </w:p>
    <w:p w:rsidR="007A1425" w:rsidRPr="00412B82" w:rsidRDefault="007A1425"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t>(E)</w:t>
      </w:r>
      <w:r w:rsidRPr="00412B82">
        <w:rPr>
          <w:rFonts w:eastAsia="Times New Roman"/>
        </w:rPr>
        <w:tab/>
        <w:t>In the second stage of a bifurcated trial, the jury shall determine if a defendant is liable for punitive damages and, if determined to be liable, the amount of punitive damages. In determining the amount of punitive damages, the jury shall consider al</w:t>
      </w:r>
      <w:r>
        <w:rPr>
          <w:rFonts w:eastAsia="Times New Roman"/>
        </w:rPr>
        <w:t>l relevant evidence, including:</w:t>
      </w:r>
    </w:p>
    <w:p w:rsidR="007A1425" w:rsidRPr="00412B82" w:rsidRDefault="007A1425"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r>
      <w:r w:rsidRPr="00412B82">
        <w:rPr>
          <w:rFonts w:eastAsia="Times New Roman"/>
        </w:rPr>
        <w:tab/>
        <w:t>(1)</w:t>
      </w:r>
      <w:r w:rsidRPr="00412B82">
        <w:rPr>
          <w:rFonts w:eastAsia="Times New Roman"/>
        </w:rPr>
        <w:tab/>
        <w:t>the severity of th</w:t>
      </w:r>
      <w:r>
        <w:rPr>
          <w:rFonts w:eastAsia="Times New Roman"/>
        </w:rPr>
        <w:t>e harm caused by the defendant;</w:t>
      </w:r>
    </w:p>
    <w:p w:rsidR="007A1425" w:rsidRPr="00412B82" w:rsidRDefault="007A1425"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r>
      <w:r w:rsidRPr="00412B82">
        <w:rPr>
          <w:rFonts w:eastAsia="Times New Roman"/>
        </w:rPr>
        <w:tab/>
        <w:t>(2)</w:t>
      </w:r>
      <w:r w:rsidRPr="00412B82">
        <w:rPr>
          <w:rFonts w:eastAsia="Times New Roman"/>
        </w:rPr>
        <w:tab/>
        <w:t>the extent to which the plaintiff</w:t>
      </w:r>
      <w:r w:rsidRPr="00A74B24">
        <w:rPr>
          <w:rFonts w:eastAsia="Times New Roman"/>
        </w:rPr>
        <w:t>’</w:t>
      </w:r>
      <w:r w:rsidRPr="00412B82">
        <w:rPr>
          <w:rFonts w:eastAsia="Times New Roman"/>
        </w:rPr>
        <w:t>s own c</w:t>
      </w:r>
      <w:r>
        <w:rPr>
          <w:rFonts w:eastAsia="Times New Roman"/>
        </w:rPr>
        <w:t>onduct contributed to the harm;</w:t>
      </w:r>
    </w:p>
    <w:p w:rsidR="007A1425" w:rsidRPr="00412B82" w:rsidRDefault="007A1425"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r>
      <w:r w:rsidRPr="00412B82">
        <w:rPr>
          <w:rFonts w:eastAsia="Times New Roman"/>
        </w:rPr>
        <w:tab/>
        <w:t>(3)</w:t>
      </w:r>
      <w:r w:rsidRPr="00412B82">
        <w:rPr>
          <w:rFonts w:eastAsia="Times New Roman"/>
        </w:rPr>
        <w:tab/>
        <w:t>the duration of the conduct, the defendant</w:t>
      </w:r>
      <w:r w:rsidRPr="00A74B24">
        <w:rPr>
          <w:rFonts w:eastAsia="Times New Roman"/>
        </w:rPr>
        <w:t>’</w:t>
      </w:r>
      <w:r w:rsidRPr="00412B82">
        <w:rPr>
          <w:rFonts w:eastAsia="Times New Roman"/>
        </w:rPr>
        <w:t>s awareness, and an</w:t>
      </w:r>
      <w:r>
        <w:rPr>
          <w:rFonts w:eastAsia="Times New Roman"/>
        </w:rPr>
        <w:t>y concealment by the defendant;</w:t>
      </w:r>
    </w:p>
    <w:p w:rsidR="007A1425" w:rsidRPr="00412B82" w:rsidRDefault="007A1425"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r>
      <w:r w:rsidRPr="00412B82">
        <w:rPr>
          <w:rFonts w:eastAsia="Times New Roman"/>
        </w:rPr>
        <w:tab/>
        <w:t>(4)</w:t>
      </w:r>
      <w:r w:rsidRPr="00412B82">
        <w:rPr>
          <w:rFonts w:eastAsia="Times New Roman"/>
        </w:rPr>
        <w:tab/>
        <w:t>the profitability o</w:t>
      </w:r>
      <w:r>
        <w:rPr>
          <w:rFonts w:eastAsia="Times New Roman"/>
        </w:rPr>
        <w:t>f the conduct to the defendant;</w:t>
      </w:r>
    </w:p>
    <w:p w:rsidR="007A1425" w:rsidRPr="00412B82" w:rsidRDefault="007A1425"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r>
      <w:r w:rsidRPr="00412B82">
        <w:rPr>
          <w:rFonts w:eastAsia="Times New Roman"/>
        </w:rPr>
        <w:tab/>
        <w:t>(5)</w:t>
      </w:r>
      <w:r w:rsidRPr="00412B82">
        <w:rPr>
          <w:rFonts w:eastAsia="Times New Roman"/>
        </w:rPr>
        <w:tab/>
        <w:t>awards of compensatory and punitive damages to persons simil</w:t>
      </w:r>
      <w:r>
        <w:rPr>
          <w:rFonts w:eastAsia="Times New Roman"/>
        </w:rPr>
        <w:t>arly situated to the plaintiff;</w:t>
      </w:r>
    </w:p>
    <w:p w:rsidR="007A1425" w:rsidRPr="00412B82" w:rsidRDefault="007A1425"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r>
      <w:r w:rsidRPr="00412B82">
        <w:rPr>
          <w:rFonts w:eastAsia="Times New Roman"/>
        </w:rPr>
        <w:tab/>
        <w:t>(6)</w:t>
      </w:r>
      <w:r w:rsidRPr="00412B82">
        <w:rPr>
          <w:rFonts w:eastAsia="Times New Roman"/>
        </w:rPr>
        <w:tab/>
        <w:t>prospective awards of compensatory damages to persons simil</w:t>
      </w:r>
      <w:r>
        <w:rPr>
          <w:rFonts w:eastAsia="Times New Roman"/>
        </w:rPr>
        <w:t>arly situated to the plaintiff;</w:t>
      </w:r>
    </w:p>
    <w:p w:rsidR="007A1425" w:rsidRPr="00412B82" w:rsidRDefault="007A1425"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r>
      <w:r w:rsidRPr="00412B82">
        <w:rPr>
          <w:rFonts w:eastAsia="Times New Roman"/>
        </w:rPr>
        <w:tab/>
        <w:t>(7)</w:t>
      </w:r>
      <w:r w:rsidRPr="00412B82">
        <w:rPr>
          <w:rFonts w:eastAsia="Times New Roman"/>
        </w:rPr>
        <w:tab/>
        <w:t>any criminal penalties imposed on the defendant as a result of the conduct comp</w:t>
      </w:r>
      <w:r>
        <w:rPr>
          <w:rFonts w:eastAsia="Times New Roman"/>
        </w:rPr>
        <w:t>lained of by the plaintiff; and</w:t>
      </w:r>
    </w:p>
    <w:p w:rsidR="007A1425" w:rsidRPr="00412B82" w:rsidRDefault="007A1425"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r>
      <w:r w:rsidRPr="00412B82">
        <w:rPr>
          <w:rFonts w:eastAsia="Times New Roman"/>
        </w:rPr>
        <w:tab/>
        <w:t>(8)</w:t>
      </w:r>
      <w:r w:rsidRPr="00412B82">
        <w:rPr>
          <w:rFonts w:eastAsia="Times New Roman"/>
        </w:rPr>
        <w:tab/>
        <w:t xml:space="preserve">the amount of any civil fines assessed against the defendant as a result of the conduct </w:t>
      </w:r>
      <w:r>
        <w:rPr>
          <w:rFonts w:eastAsia="Times New Roman"/>
        </w:rPr>
        <w:t>complained of by the plaintiff.</w:t>
      </w:r>
    </w:p>
    <w:p w:rsidR="007A1425" w:rsidRPr="00412B82" w:rsidRDefault="007A1425"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t>(F)</w:t>
      </w:r>
      <w:r w:rsidRPr="00412B82">
        <w:rPr>
          <w:rFonts w:eastAsia="Times New Roman"/>
        </w:rPr>
        <w:tab/>
        <w:t>Evidence of a defendant</w:t>
      </w:r>
      <w:r w:rsidRPr="00A74B24">
        <w:rPr>
          <w:rFonts w:eastAsia="Times New Roman"/>
        </w:rPr>
        <w:t>’</w:t>
      </w:r>
      <w:r w:rsidRPr="00412B82">
        <w:rPr>
          <w:rFonts w:eastAsia="Times New Roman"/>
        </w:rPr>
        <w:t xml:space="preserve">s financial condition or net worth is not admissible during the punitive damage phase of the trial, although this evidence may be considered by the trial and appellate courts in determining </w:t>
      </w:r>
      <w:r>
        <w:rPr>
          <w:rFonts w:eastAsia="Times New Roman"/>
        </w:rPr>
        <w:t>whether the award is excessive.</w:t>
      </w:r>
    </w:p>
    <w:p w:rsidR="007A1425" w:rsidRPr="00412B82" w:rsidRDefault="007A1425"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t>(G)</w:t>
      </w:r>
      <w:r w:rsidRPr="00412B82">
        <w:rPr>
          <w:rFonts w:eastAsia="Times New Roman"/>
        </w:rPr>
        <w:tab/>
        <w:t>If punitive damages are awarded, the trial court shall carefully review the jury</w:t>
      </w:r>
      <w:r w:rsidRPr="00A74B24">
        <w:rPr>
          <w:rFonts w:eastAsia="Times New Roman"/>
        </w:rPr>
        <w:t>’</w:t>
      </w:r>
      <w:r w:rsidRPr="00412B82">
        <w:rPr>
          <w:rFonts w:eastAsia="Times New Roman"/>
        </w:rPr>
        <w:t xml:space="preserve">s decision, considering all relevant evidence, including the factors identified in subsection (D), to ensure that the award is not excessive or the </w:t>
      </w:r>
      <w:r>
        <w:rPr>
          <w:rFonts w:eastAsia="Times New Roman"/>
        </w:rPr>
        <w:t>result of passion or prejudice.</w:t>
      </w:r>
    </w:p>
    <w:p w:rsidR="007A1425" w:rsidRPr="00412B82" w:rsidRDefault="007A1425"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t>(H)</w:t>
      </w:r>
      <w:r w:rsidRPr="00412B82">
        <w:rPr>
          <w:rFonts w:eastAsia="Times New Roman"/>
        </w:rPr>
        <w:tab/>
        <w:t>In any action with multiple defendants, a punitive damages award must be specific to each defendant, and each defendant is liable only for the amount of the awa</w:t>
      </w:r>
      <w:r>
        <w:rPr>
          <w:rFonts w:eastAsia="Times New Roman"/>
        </w:rPr>
        <w:t>rd made against that defendant.</w:t>
      </w:r>
    </w:p>
    <w:p w:rsidR="007A1425" w:rsidRPr="00412B82" w:rsidRDefault="007A1425"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425" w:rsidRPr="00412B82" w:rsidRDefault="007A1425"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15</w:t>
      </w:r>
      <w:r>
        <w:rPr>
          <w:rFonts w:eastAsia="Times New Roman"/>
        </w:rPr>
        <w:noBreakHyphen/>
        <w:t>32</w:t>
      </w:r>
      <w:r>
        <w:rPr>
          <w:rFonts w:eastAsia="Times New Roman"/>
        </w:rPr>
        <w:noBreakHyphen/>
        <w:t>270.</w:t>
      </w:r>
      <w:r>
        <w:rPr>
          <w:rFonts w:eastAsia="Times New Roman"/>
        </w:rPr>
        <w:tab/>
      </w:r>
      <w:r w:rsidRPr="00412B82">
        <w:rPr>
          <w:rFonts w:eastAsia="Times New Roman"/>
        </w:rPr>
        <w:t>No award of punitive damages may exceed three times the amount of the plaintiff</w:t>
      </w:r>
      <w:r w:rsidRPr="00A74B24">
        <w:rPr>
          <w:rFonts w:eastAsia="Times New Roman"/>
        </w:rPr>
        <w:t>’</w:t>
      </w:r>
      <w:r w:rsidRPr="00412B82">
        <w:rPr>
          <w:rFonts w:eastAsia="Times New Roman"/>
        </w:rPr>
        <w:t>s compensatory damages award or two hundred fifty thousand, whichever is greater. If the defendant is an individual or a business with fifty or fewer employees, no award of punitive damages may exceed three times the amount of the plaintiff</w:t>
      </w:r>
      <w:r w:rsidRPr="00A74B24">
        <w:rPr>
          <w:rFonts w:eastAsia="Times New Roman"/>
        </w:rPr>
        <w:t>’</w:t>
      </w:r>
      <w:r w:rsidRPr="00412B82">
        <w:rPr>
          <w:rFonts w:eastAsia="Times New Roman"/>
        </w:rPr>
        <w:t>s compensatory damages or two hundred fifty thous</w:t>
      </w:r>
      <w:r>
        <w:rPr>
          <w:rFonts w:eastAsia="Times New Roman"/>
        </w:rPr>
        <w:t>and dollars, whichever is less.</w:t>
      </w:r>
    </w:p>
    <w:p w:rsidR="007A1425" w:rsidRPr="00412B82" w:rsidRDefault="007A1425"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425" w:rsidRPr="00412B82" w:rsidRDefault="007A1425"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15</w:t>
      </w:r>
      <w:r>
        <w:rPr>
          <w:rFonts w:eastAsia="Times New Roman"/>
        </w:rPr>
        <w:noBreakHyphen/>
        <w:t>32</w:t>
      </w:r>
      <w:r>
        <w:rPr>
          <w:rFonts w:eastAsia="Times New Roman"/>
        </w:rPr>
        <w:noBreakHyphen/>
        <w:t>280.</w:t>
      </w:r>
      <w:r>
        <w:rPr>
          <w:rFonts w:eastAsia="Times New Roman"/>
        </w:rPr>
        <w:tab/>
      </w:r>
      <w:r w:rsidRPr="00412B82">
        <w:rPr>
          <w:rFonts w:eastAsia="Times New Roman"/>
        </w:rPr>
        <w:t>(A)</w:t>
      </w:r>
      <w:r w:rsidRPr="00412B82">
        <w:rPr>
          <w:rFonts w:eastAsia="Times New Roman"/>
        </w:rPr>
        <w:tab/>
        <w:t xml:space="preserve">Punitive damages shall not be awarded if a drug or device or combination device or food or food </w:t>
      </w:r>
      <w:r>
        <w:rPr>
          <w:rFonts w:eastAsia="Times New Roman"/>
        </w:rPr>
        <w:t>additive which caused the harm:</w:t>
      </w:r>
    </w:p>
    <w:p w:rsidR="007A1425" w:rsidRPr="00412B82" w:rsidRDefault="007A1425"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r>
      <w:r w:rsidRPr="00412B82">
        <w:rPr>
          <w:rFonts w:eastAsia="Times New Roman"/>
        </w:rPr>
        <w:tab/>
        <w:t>(1)</w:t>
      </w:r>
      <w:r w:rsidRPr="00412B82">
        <w:rPr>
          <w:rFonts w:eastAsia="Times New Roman"/>
        </w:rPr>
        <w:tab/>
        <w:t xml:space="preserve">was subject to premarket approval or licensure by the federal Food and Drug Administration under the </w:t>
      </w:r>
      <w:r w:rsidRPr="00A74B24">
        <w:rPr>
          <w:rFonts w:eastAsia="Times New Roman"/>
        </w:rPr>
        <w:t>‘</w:t>
      </w:r>
      <w:r w:rsidRPr="00412B82">
        <w:rPr>
          <w:rFonts w:eastAsia="Times New Roman"/>
        </w:rPr>
        <w:t>Federal Food, Drug, and Cosmetic Act,</w:t>
      </w:r>
      <w:r w:rsidRPr="00A74B24">
        <w:rPr>
          <w:rFonts w:eastAsia="Times New Roman"/>
        </w:rPr>
        <w:t>’</w:t>
      </w:r>
      <w:r w:rsidRPr="00412B82">
        <w:rPr>
          <w:rFonts w:eastAsia="Times New Roman"/>
        </w:rPr>
        <w:t xml:space="preserve"> 52 Stat.1040, 21 U.S.C.Sec.301 et seq. or the </w:t>
      </w:r>
      <w:r w:rsidRPr="00A74B24">
        <w:rPr>
          <w:rFonts w:eastAsia="Times New Roman"/>
        </w:rPr>
        <w:t>‘</w:t>
      </w:r>
      <w:r w:rsidRPr="00412B82">
        <w:rPr>
          <w:rFonts w:eastAsia="Times New Roman"/>
        </w:rPr>
        <w:t>Public Health Service Act,</w:t>
      </w:r>
      <w:r w:rsidRPr="00A74B24">
        <w:rPr>
          <w:rFonts w:eastAsia="Times New Roman"/>
        </w:rPr>
        <w:t>’</w:t>
      </w:r>
      <w:r w:rsidRPr="00412B82">
        <w:rPr>
          <w:rFonts w:eastAsia="Times New Roman"/>
        </w:rPr>
        <w:t xml:space="preserve"> 58 Stat.682, 42 U.S.C.Sec.201 et seq. a</w:t>
      </w:r>
      <w:r>
        <w:rPr>
          <w:rFonts w:eastAsia="Times New Roman"/>
        </w:rPr>
        <w:t>nd was approved or licensed; or</w:t>
      </w:r>
    </w:p>
    <w:p w:rsidR="007A1425" w:rsidRPr="00412B82" w:rsidRDefault="007A1425"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r>
      <w:r w:rsidRPr="00412B82">
        <w:rPr>
          <w:rFonts w:eastAsia="Times New Roman"/>
        </w:rPr>
        <w:tab/>
        <w:t>(2)</w:t>
      </w:r>
      <w:r w:rsidRPr="00412B82">
        <w:rPr>
          <w:rFonts w:eastAsia="Times New Roman"/>
        </w:rPr>
        <w:tab/>
        <w:t>is generally recognized as safe and effective pursuant to conditions established by the federal Food and Drug Administration and applicable regulations, including pack</w:t>
      </w:r>
      <w:r>
        <w:rPr>
          <w:rFonts w:eastAsia="Times New Roman"/>
        </w:rPr>
        <w:t>aging and labeling regulations.</w:t>
      </w:r>
    </w:p>
    <w:p w:rsidR="007A1425" w:rsidRPr="00412B82" w:rsidRDefault="007A1425"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t>(B)</w:t>
      </w:r>
      <w:r w:rsidRPr="00412B82">
        <w:rPr>
          <w:rFonts w:eastAsia="Times New Roman"/>
        </w:rPr>
        <w:tab/>
        <w:t>This exception shall not apply when the plaintiff proves by clear and convincing evidence</w:t>
      </w:r>
      <w:r>
        <w:rPr>
          <w:rFonts w:eastAsia="Times New Roman"/>
        </w:rPr>
        <w:t xml:space="preserve"> that the product manufacturer:</w:t>
      </w:r>
    </w:p>
    <w:p w:rsidR="007A1425" w:rsidRPr="00412B82" w:rsidRDefault="007A1425"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r>
      <w:r w:rsidRPr="00412B82">
        <w:rPr>
          <w:rFonts w:eastAsia="Times New Roman"/>
        </w:rPr>
        <w:tab/>
        <w:t>(1)</w:t>
      </w:r>
      <w:r w:rsidRPr="00412B82">
        <w:rPr>
          <w:rFonts w:eastAsia="Times New Roman"/>
        </w:rPr>
        <w:tab/>
        <w:t>knowingly and in violation of applicable agency regulations withheld or misrepresented information required to be submitted to the agency, when the information was material and relev</w:t>
      </w:r>
      <w:r>
        <w:rPr>
          <w:rFonts w:eastAsia="Times New Roman"/>
        </w:rPr>
        <w:t>ant to the harm in question; or</w:t>
      </w:r>
    </w:p>
    <w:p w:rsidR="007A1425" w:rsidRDefault="007A1425"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r>
      <w:r w:rsidRPr="00412B82">
        <w:rPr>
          <w:rFonts w:eastAsia="Times New Roman"/>
        </w:rPr>
        <w:tab/>
        <w:t>(2)</w:t>
      </w:r>
      <w:r w:rsidRPr="00412B82">
        <w:rPr>
          <w:rFonts w:eastAsia="Times New Roman"/>
        </w:rPr>
        <w:tab/>
        <w:t>made an illegal payment to an official of the federal Food and Drug Administration for the purpose of securing approval of the product.”</w:t>
      </w:r>
    </w:p>
    <w:p w:rsidR="007A1425" w:rsidRDefault="007A1425"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425" w:rsidRDefault="007A1425"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Chapter 23, Title 58 of the 1976 is amended by adding:</w:t>
      </w:r>
    </w:p>
    <w:p w:rsidR="007A1425" w:rsidRDefault="007A1425"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425" w:rsidRPr="00FF36BD" w:rsidRDefault="007A1425" w:rsidP="00FF3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58</w:t>
      </w:r>
      <w:r>
        <w:rPr>
          <w:rFonts w:eastAsia="Times New Roman"/>
        </w:rPr>
        <w:noBreakHyphen/>
        <w:t>23</w:t>
      </w:r>
      <w:r>
        <w:rPr>
          <w:rFonts w:eastAsia="Times New Roman"/>
        </w:rPr>
        <w:noBreakHyphen/>
        <w:t>810.</w:t>
      </w:r>
      <w:r>
        <w:rPr>
          <w:rFonts w:eastAsia="Times New Roman"/>
        </w:rPr>
        <w:tab/>
        <w:t>(A)</w:t>
      </w:r>
      <w:r>
        <w:rPr>
          <w:rFonts w:eastAsia="Times New Roman"/>
        </w:rPr>
        <w:tab/>
      </w:r>
      <w:r w:rsidRPr="00FF36BD">
        <w:rPr>
          <w:rFonts w:eastAsia="Times New Roman"/>
        </w:rPr>
        <w:t>Civil liability claims made against an employer of a person who holds a valid commercial driver</w:t>
      </w:r>
      <w:r w:rsidRPr="00A74B24">
        <w:rPr>
          <w:rFonts w:eastAsia="Times New Roman"/>
        </w:rPr>
        <w:t>’</w:t>
      </w:r>
      <w:r w:rsidRPr="00FF36BD">
        <w:rPr>
          <w:rFonts w:eastAsia="Times New Roman"/>
        </w:rPr>
        <w:t>s license issued by this state or any other State based on any theory of negligent hiring, negligent training, negligent supervision, negligent retention, or negligent entrustment, must be considered in the second phase of a bifurcate</w:t>
      </w:r>
      <w:r>
        <w:rPr>
          <w:rFonts w:eastAsia="Times New Roman"/>
        </w:rPr>
        <w:t>d trial described in Section 15</w:t>
      </w:r>
      <w:r>
        <w:rPr>
          <w:rFonts w:eastAsia="Times New Roman"/>
        </w:rPr>
        <w:noBreakHyphen/>
        <w:t>32</w:t>
      </w:r>
      <w:r>
        <w:rPr>
          <w:rFonts w:eastAsia="Times New Roman"/>
        </w:rPr>
        <w:noBreakHyphen/>
      </w:r>
      <w:r w:rsidRPr="00FF36BD">
        <w:rPr>
          <w:rFonts w:eastAsia="Times New Roman"/>
        </w:rPr>
        <w:t>520(E), if there is evidence against the employer as would support an award of punitive damages.</w:t>
      </w:r>
    </w:p>
    <w:p w:rsidR="007A1425" w:rsidRPr="00FF36BD" w:rsidRDefault="007A1425" w:rsidP="00FF3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F36BD">
        <w:rPr>
          <w:rFonts w:eastAsia="Times New Roman"/>
        </w:rPr>
        <w:tab/>
        <w:t>(B)</w:t>
      </w:r>
      <w:r w:rsidRPr="00FF36BD">
        <w:rPr>
          <w:rFonts w:eastAsia="Times New Roman"/>
        </w:rPr>
        <w:tab/>
        <w:t>A violation of a regulation enacted under the motor vehicle traffic and safety statutes and regulations of this State or of any other state, or the Federal Motor Carrier Safety Regulations, or a conviction of a moving violation, shall not constitute per se gross negligence, but evidence of such a violation or conviction shall be admissible to prove gross negligence in the second phase of a bifurcated t</w:t>
      </w:r>
      <w:r>
        <w:rPr>
          <w:rFonts w:eastAsia="Times New Roman"/>
        </w:rPr>
        <w:t>rial as described in Section 15</w:t>
      </w:r>
      <w:r>
        <w:rPr>
          <w:rFonts w:eastAsia="Times New Roman"/>
        </w:rPr>
        <w:noBreakHyphen/>
        <w:t>32</w:t>
      </w:r>
      <w:r>
        <w:rPr>
          <w:rFonts w:eastAsia="Times New Roman"/>
        </w:rPr>
        <w:noBreakHyphen/>
      </w:r>
      <w:r w:rsidRPr="00FF36BD">
        <w:rPr>
          <w:rFonts w:eastAsia="Times New Roman"/>
        </w:rPr>
        <w:t>520(E), if the violation or conviction is the proximate cause of the injury for which damages are sought.</w:t>
      </w:r>
    </w:p>
    <w:p w:rsidR="007A1425" w:rsidRDefault="007A1425" w:rsidP="00FF3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F36BD">
        <w:rPr>
          <w:rFonts w:eastAsia="Times New Roman"/>
        </w:rPr>
        <w:tab/>
        <w:t>(C)</w:t>
      </w:r>
      <w:r w:rsidRPr="00FF36BD">
        <w:rPr>
          <w:rFonts w:eastAsia="Times New Roman"/>
        </w:rPr>
        <w:tab/>
        <w:t>Punitive damages may not be awarded against the employer of a person holding a valid commercial driver</w:t>
      </w:r>
      <w:r w:rsidRPr="00A74B24">
        <w:rPr>
          <w:rFonts w:eastAsia="Times New Roman"/>
        </w:rPr>
        <w:t>’</w:t>
      </w:r>
      <w:r w:rsidRPr="00FF36BD">
        <w:rPr>
          <w:rFonts w:eastAsia="Times New Roman"/>
        </w:rPr>
        <w:t>s license based solely on a finding of vicarious liability.”</w:t>
      </w:r>
    </w:p>
    <w:p w:rsidR="007A1425" w:rsidRDefault="007A1425" w:rsidP="00FF3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425" w:rsidRDefault="007A1425" w:rsidP="00FF3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Title 15 of the 1976 Code is amended to by adding:</w:t>
      </w:r>
    </w:p>
    <w:p w:rsidR="007A1425" w:rsidRDefault="007A1425" w:rsidP="00FF3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425" w:rsidRDefault="007A1425" w:rsidP="00C04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82</w:t>
      </w:r>
    </w:p>
    <w:p w:rsidR="007A1425" w:rsidRDefault="007A1425" w:rsidP="00C04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7A1425" w:rsidRPr="00C043F1" w:rsidRDefault="007A1425" w:rsidP="00C04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15</w:t>
      </w:r>
      <w:r>
        <w:rPr>
          <w:rFonts w:eastAsia="Times New Roman"/>
        </w:rPr>
        <w:noBreakHyphen/>
        <w:t>82</w:t>
      </w:r>
      <w:r>
        <w:rPr>
          <w:rFonts w:eastAsia="Times New Roman"/>
        </w:rPr>
        <w:noBreakHyphen/>
        <w:t>10.</w:t>
      </w:r>
      <w:r>
        <w:rPr>
          <w:rFonts w:eastAsia="Times New Roman"/>
        </w:rPr>
        <w:tab/>
        <w:t>(A)</w:t>
      </w:r>
      <w:r>
        <w:rPr>
          <w:rFonts w:eastAsia="Times New Roman"/>
        </w:rPr>
        <w:tab/>
      </w:r>
      <w:r w:rsidRPr="00C043F1">
        <w:rPr>
          <w:rFonts w:eastAsia="Times New Roman"/>
        </w:rPr>
        <w:t>A possessor of land, including an owner, lessee, or other occupant, owes no duty of care to a trespasser except to refrain from caus</w:t>
      </w:r>
      <w:r>
        <w:rPr>
          <w:rFonts w:eastAsia="Times New Roman"/>
        </w:rPr>
        <w:t>ing a wilful or wanton injury.</w:t>
      </w:r>
    </w:p>
    <w:p w:rsidR="007A1425" w:rsidRPr="00C043F1" w:rsidRDefault="007A1425" w:rsidP="00C04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sidRPr="00C043F1">
        <w:rPr>
          <w:rFonts w:eastAsia="Times New Roman"/>
        </w:rPr>
        <w:tab/>
        <w:t>Notwithstanding (A), a possessor of land may be subject to liability for physical injury or death to a child trespasser caused by an artificial condition upon the land if</w:t>
      </w:r>
      <w:r>
        <w:rPr>
          <w:rFonts w:eastAsia="Times New Roman"/>
        </w:rPr>
        <w:t>:</w:t>
      </w:r>
    </w:p>
    <w:p w:rsidR="007A1425" w:rsidRPr="00C043F1" w:rsidRDefault="007A1425" w:rsidP="00C04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sidRPr="00C043F1">
        <w:rPr>
          <w:rFonts w:eastAsia="Times New Roman"/>
        </w:rPr>
        <w:tab/>
        <w:t>the place where the condition exists is one upon which the possessor knows or has reason to know that children are likely to trespass;</w:t>
      </w:r>
    </w:p>
    <w:p w:rsidR="007A1425" w:rsidRPr="00C043F1" w:rsidRDefault="007A1425" w:rsidP="00C04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sidRPr="00C043F1">
        <w:rPr>
          <w:rFonts w:eastAsia="Times New Roman"/>
        </w:rPr>
        <w:tab/>
        <w:t>the condition is one of which the possessor knows or has reason to know and which the possessor realizes or should realize will involve an unreasonable risk of death or serious bodily harm to such children;</w:t>
      </w:r>
    </w:p>
    <w:p w:rsidR="007A1425" w:rsidRPr="00C043F1" w:rsidRDefault="007A1425" w:rsidP="00C04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sidRPr="00C043F1">
        <w:rPr>
          <w:rFonts w:eastAsia="Times New Roman"/>
        </w:rPr>
        <w:tab/>
        <w:t>the children because of their youth do not discover the condition or realize the risk involved in intermeddling with it or in coming within the area made dangerous by it;</w:t>
      </w:r>
    </w:p>
    <w:p w:rsidR="007A1425" w:rsidRPr="00C043F1" w:rsidRDefault="007A1425" w:rsidP="00C04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sidRPr="00C043F1">
        <w:rPr>
          <w:rFonts w:eastAsia="Times New Roman"/>
        </w:rPr>
        <w:tab/>
        <w:t>the utility to the possessor of maintaining the condition and the burden of eliminating the danger were slight as compared with the risk to children involved; and</w:t>
      </w:r>
    </w:p>
    <w:p w:rsidR="007A1425" w:rsidRPr="00C043F1" w:rsidRDefault="007A1425" w:rsidP="00C04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sidRPr="00C043F1">
        <w:rPr>
          <w:rFonts w:eastAsia="Times New Roman"/>
        </w:rPr>
        <w:tab/>
        <w:t>the possessor failed to exercise reasonable care to eliminate the danger or otherwise</w:t>
      </w:r>
      <w:r>
        <w:rPr>
          <w:rFonts w:eastAsia="Times New Roman"/>
        </w:rPr>
        <w:t xml:space="preserve"> protect the injured children.</w:t>
      </w:r>
    </w:p>
    <w:p w:rsidR="007A1425" w:rsidRDefault="007A1425" w:rsidP="00C04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043F1">
        <w:rPr>
          <w:rFonts w:eastAsia="Times New Roman"/>
        </w:rPr>
        <w:t>(C</w:t>
      </w:r>
      <w:r>
        <w:rPr>
          <w:rFonts w:eastAsia="Times New Roman"/>
        </w:rPr>
        <w:t>)</w:t>
      </w:r>
      <w:r>
        <w:rPr>
          <w:rFonts w:eastAsia="Times New Roman"/>
        </w:rPr>
        <w:tab/>
        <w:t>This Section does not affect S</w:t>
      </w:r>
      <w:r w:rsidRPr="00C043F1">
        <w:rPr>
          <w:rFonts w:eastAsia="Times New Roman"/>
        </w:rPr>
        <w:t>ections 16</w:t>
      </w:r>
      <w:r>
        <w:rPr>
          <w:rFonts w:eastAsia="Times New Roman"/>
        </w:rPr>
        <w:noBreakHyphen/>
      </w:r>
      <w:r w:rsidRPr="00C043F1">
        <w:rPr>
          <w:rFonts w:eastAsia="Times New Roman"/>
        </w:rPr>
        <w:t>11</w:t>
      </w:r>
      <w:r>
        <w:rPr>
          <w:rFonts w:eastAsia="Times New Roman"/>
        </w:rPr>
        <w:noBreakHyphen/>
      </w:r>
      <w:r w:rsidRPr="00C043F1">
        <w:rPr>
          <w:rFonts w:eastAsia="Times New Roman"/>
        </w:rPr>
        <w:t>410 through 16</w:t>
      </w:r>
      <w:r>
        <w:rPr>
          <w:rFonts w:eastAsia="Times New Roman"/>
        </w:rPr>
        <w:noBreakHyphen/>
      </w:r>
      <w:r w:rsidRPr="00C043F1">
        <w:rPr>
          <w:rFonts w:eastAsia="Times New Roman"/>
        </w:rPr>
        <w:t>11</w:t>
      </w:r>
      <w:r>
        <w:rPr>
          <w:rFonts w:eastAsia="Times New Roman"/>
        </w:rPr>
        <w:noBreakHyphen/>
      </w:r>
      <w:r w:rsidRPr="00C043F1">
        <w:rPr>
          <w:rFonts w:eastAsia="Times New Roman"/>
        </w:rPr>
        <w:t>450, or create or increase the liability of any person or entity.</w:t>
      </w:r>
      <w:r>
        <w:rPr>
          <w:rFonts w:eastAsia="Times New Roman"/>
        </w:rPr>
        <w:t>”</w:t>
      </w:r>
    </w:p>
    <w:p w:rsidR="007A1425" w:rsidRDefault="007A1425" w:rsidP="00C04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425" w:rsidRDefault="007A1425" w:rsidP="00C04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Section 15</w:t>
      </w:r>
      <w:r>
        <w:rPr>
          <w:rFonts w:eastAsia="Times New Roman"/>
        </w:rPr>
        <w:noBreakHyphen/>
        <w:t>73</w:t>
      </w:r>
      <w:r>
        <w:rPr>
          <w:rFonts w:eastAsia="Times New Roman"/>
        </w:rPr>
        <w:noBreakHyphen/>
        <w:t>10 of the 1976 is amended to read:</w:t>
      </w:r>
    </w:p>
    <w:p w:rsidR="007A1425" w:rsidRDefault="007A1425" w:rsidP="00C04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425" w:rsidRPr="00620E57" w:rsidRDefault="007A1425" w:rsidP="0039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rPr>
      </w:pPr>
      <w:r>
        <w:rPr>
          <w:rFonts w:eastAsia="Times New Roman"/>
        </w:rPr>
        <w:tab/>
        <w:t>“Section 15</w:t>
      </w:r>
      <w:r>
        <w:rPr>
          <w:rFonts w:eastAsia="Times New Roman"/>
        </w:rPr>
        <w:noBreakHyphen/>
        <w:t>73</w:t>
      </w:r>
      <w:r>
        <w:rPr>
          <w:rFonts w:eastAsia="Times New Roman"/>
        </w:rPr>
        <w:noBreakHyphen/>
        <w:t>10.</w:t>
      </w:r>
      <w:r>
        <w:rPr>
          <w:rFonts w:eastAsia="Times New Roman"/>
        </w:rPr>
        <w:tab/>
      </w:r>
      <w:r>
        <w:rPr>
          <w:strike/>
          <w:color w:val="000000"/>
        </w:rPr>
        <w:t>(1)</w:t>
      </w:r>
      <w:r w:rsidRPr="00A74B24">
        <w:rPr>
          <w:color w:val="000000"/>
        </w:rPr>
        <w:tab/>
      </w:r>
      <w:r w:rsidRPr="00620E57">
        <w:rPr>
          <w:strike/>
          <w:color w:val="000000"/>
        </w:rPr>
        <w:t>One who sells any product in a defective condition unreasonably dangerous to the user or consumer or to his property is subject to liability for physical harm caused to the ultimate user or consumer, or to his property, if</w:t>
      </w:r>
    </w:p>
    <w:p w:rsidR="007A1425" w:rsidRPr="00620E57" w:rsidRDefault="007A1425" w:rsidP="0039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rPr>
      </w:pPr>
      <w:r w:rsidRPr="00391A40">
        <w:rPr>
          <w:color w:val="000000"/>
        </w:rPr>
        <w:tab/>
      </w:r>
      <w:r w:rsidRPr="00391A40">
        <w:rPr>
          <w:color w:val="000000"/>
        </w:rPr>
        <w:tab/>
      </w:r>
      <w:r>
        <w:rPr>
          <w:strike/>
          <w:color w:val="000000"/>
        </w:rPr>
        <w:t>(a)</w:t>
      </w:r>
      <w:r w:rsidRPr="00A74B24">
        <w:rPr>
          <w:color w:val="000000"/>
        </w:rPr>
        <w:tab/>
      </w:r>
      <w:r w:rsidRPr="00620E57">
        <w:rPr>
          <w:strike/>
          <w:color w:val="000000"/>
        </w:rPr>
        <w:t>The seller is engaged in the business of selling such a product, and</w:t>
      </w:r>
    </w:p>
    <w:p w:rsidR="007A1425" w:rsidRPr="00620E57" w:rsidRDefault="007A1425" w:rsidP="0039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rPr>
      </w:pPr>
      <w:r w:rsidRPr="00391A40">
        <w:rPr>
          <w:color w:val="000000"/>
        </w:rPr>
        <w:tab/>
      </w:r>
      <w:r w:rsidRPr="00391A40">
        <w:rPr>
          <w:color w:val="000000"/>
        </w:rPr>
        <w:tab/>
      </w:r>
      <w:r>
        <w:rPr>
          <w:strike/>
          <w:color w:val="000000"/>
        </w:rPr>
        <w:t>(b)</w:t>
      </w:r>
      <w:r w:rsidRPr="00A74B24">
        <w:rPr>
          <w:color w:val="000000"/>
        </w:rPr>
        <w:tab/>
      </w:r>
      <w:r w:rsidRPr="00620E57">
        <w:rPr>
          <w:strike/>
          <w:color w:val="000000"/>
        </w:rPr>
        <w:t>It is expected to and does reach the user or consumer without substantial change in the condition in which it is sold.</w:t>
      </w:r>
    </w:p>
    <w:p w:rsidR="007A1425" w:rsidRPr="00620E57" w:rsidRDefault="007A1425" w:rsidP="0039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rPr>
      </w:pPr>
      <w:r w:rsidRPr="00391A40">
        <w:rPr>
          <w:color w:val="000000"/>
        </w:rPr>
        <w:tab/>
      </w:r>
      <w:r>
        <w:rPr>
          <w:strike/>
          <w:color w:val="000000"/>
        </w:rPr>
        <w:t>(2)</w:t>
      </w:r>
      <w:r w:rsidRPr="00A74B24">
        <w:rPr>
          <w:color w:val="000000"/>
        </w:rPr>
        <w:tab/>
      </w:r>
      <w:r w:rsidRPr="00620E57">
        <w:rPr>
          <w:strike/>
          <w:color w:val="000000"/>
        </w:rPr>
        <w:t>The rule stated in subsection (1) shall apply although</w:t>
      </w:r>
    </w:p>
    <w:p w:rsidR="007A1425" w:rsidRPr="00620E57" w:rsidRDefault="007A1425" w:rsidP="0039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rPr>
      </w:pPr>
      <w:r w:rsidRPr="00391A40">
        <w:rPr>
          <w:color w:val="000000"/>
        </w:rPr>
        <w:tab/>
      </w:r>
      <w:r w:rsidRPr="00391A40">
        <w:rPr>
          <w:color w:val="000000"/>
        </w:rPr>
        <w:tab/>
      </w:r>
      <w:r>
        <w:rPr>
          <w:strike/>
          <w:color w:val="000000"/>
        </w:rPr>
        <w:t>(a)</w:t>
      </w:r>
      <w:r w:rsidRPr="00A74B24">
        <w:rPr>
          <w:color w:val="000000"/>
        </w:rPr>
        <w:tab/>
      </w:r>
      <w:r w:rsidRPr="00620E57">
        <w:rPr>
          <w:strike/>
          <w:color w:val="000000"/>
        </w:rPr>
        <w:t>The seller has exercised all possible care in the preparation and sale of his product, and</w:t>
      </w:r>
    </w:p>
    <w:p w:rsidR="007A1425" w:rsidRPr="00620E57" w:rsidRDefault="007A1425" w:rsidP="0039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u w:val="single"/>
        </w:rPr>
      </w:pPr>
      <w:r w:rsidRPr="00391A40">
        <w:rPr>
          <w:color w:val="000000"/>
        </w:rPr>
        <w:tab/>
      </w:r>
      <w:r w:rsidRPr="00391A40">
        <w:rPr>
          <w:color w:val="000000"/>
        </w:rPr>
        <w:tab/>
      </w:r>
      <w:r>
        <w:rPr>
          <w:strike/>
          <w:color w:val="000000"/>
        </w:rPr>
        <w:t>(b)</w:t>
      </w:r>
      <w:r w:rsidRPr="00A74B24">
        <w:rPr>
          <w:color w:val="000000"/>
        </w:rPr>
        <w:tab/>
      </w:r>
      <w:r w:rsidRPr="00620E57">
        <w:rPr>
          <w:strike/>
          <w:color w:val="000000"/>
        </w:rPr>
        <w:t>The user or consumer has not bought the product from or entered into any contractual relation with the seller</w:t>
      </w:r>
      <w:r>
        <w:rPr>
          <w:color w:val="000000"/>
        </w:rPr>
        <w:t xml:space="preserve"> </w:t>
      </w:r>
      <w:r>
        <w:rPr>
          <w:color w:val="000000"/>
          <w:u w:val="single"/>
        </w:rPr>
        <w:t>A consumer or user who is harmed by an allegedly defective product shall be barred from bringing a product liability action against the product</w:t>
      </w:r>
      <w:r w:rsidRPr="00A74B24">
        <w:rPr>
          <w:color w:val="000000"/>
          <w:u w:val="single"/>
        </w:rPr>
        <w:t>’</w:t>
      </w:r>
      <w:r>
        <w:rPr>
          <w:color w:val="000000"/>
          <w:u w:val="single"/>
        </w:rPr>
        <w:t>s seller, other than the product</w:t>
      </w:r>
      <w:r w:rsidRPr="00A74B24">
        <w:rPr>
          <w:color w:val="000000"/>
          <w:u w:val="single"/>
        </w:rPr>
        <w:t>’</w:t>
      </w:r>
      <w:r>
        <w:rPr>
          <w:color w:val="000000"/>
          <w:u w:val="single"/>
        </w:rPr>
        <w:t>s manufacturer, unless:</w:t>
      </w:r>
    </w:p>
    <w:p w:rsidR="007A1425" w:rsidRDefault="007A1425" w:rsidP="0039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u w:val="single"/>
        </w:rPr>
      </w:pPr>
      <w:r w:rsidRPr="00990070">
        <w:rPr>
          <w:color w:val="000000"/>
        </w:rPr>
        <w:tab/>
      </w:r>
      <w:r w:rsidRPr="00990070">
        <w:rPr>
          <w:color w:val="000000"/>
        </w:rPr>
        <w:tab/>
      </w:r>
      <w:r w:rsidRPr="00620E57">
        <w:rPr>
          <w:color w:val="000000"/>
          <w:u w:val="single"/>
        </w:rPr>
        <w:t>(1)</w:t>
      </w:r>
      <w:r>
        <w:rPr>
          <w:color w:val="000000"/>
        </w:rPr>
        <w:tab/>
      </w:r>
      <w:r w:rsidRPr="00620E57">
        <w:rPr>
          <w:color w:val="000000"/>
          <w:u w:val="single"/>
        </w:rPr>
        <w:t xml:space="preserve">the seller exercised substantial control over the </w:t>
      </w:r>
      <w:r>
        <w:rPr>
          <w:color w:val="000000"/>
          <w:u w:val="single"/>
        </w:rPr>
        <w:t xml:space="preserve">portion of the </w:t>
      </w:r>
      <w:r w:rsidRPr="00620E57">
        <w:rPr>
          <w:color w:val="000000"/>
          <w:u w:val="single"/>
        </w:rPr>
        <w:t>design, testing, manufacturing, packaging, or labeling of the product that caused the alleged har</w:t>
      </w:r>
      <w:r>
        <w:rPr>
          <w:color w:val="000000"/>
          <w:u w:val="single"/>
        </w:rPr>
        <w:t>m for which recovery is sought;</w:t>
      </w:r>
    </w:p>
    <w:p w:rsidR="007A1425" w:rsidRPr="00620E57" w:rsidRDefault="007A1425" w:rsidP="0039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u w:val="single"/>
        </w:rPr>
      </w:pPr>
      <w:r>
        <w:rPr>
          <w:color w:val="000000"/>
        </w:rPr>
        <w:tab/>
      </w:r>
      <w:r>
        <w:rPr>
          <w:color w:val="000000"/>
        </w:rPr>
        <w:tab/>
      </w:r>
      <w:r w:rsidRPr="00620E57">
        <w:rPr>
          <w:color w:val="000000"/>
          <w:u w:val="single"/>
        </w:rPr>
        <w:t>(2)</w:t>
      </w:r>
      <w:r>
        <w:rPr>
          <w:color w:val="000000"/>
        </w:rPr>
        <w:tab/>
      </w:r>
      <w:r w:rsidRPr="00620E57">
        <w:rPr>
          <w:color w:val="000000"/>
          <w:u w:val="single"/>
        </w:rPr>
        <w:t>the seller altered or modified the product, and the alteration or modification was a substantial factor in causing the alleged har</w:t>
      </w:r>
      <w:r>
        <w:rPr>
          <w:color w:val="000000"/>
          <w:u w:val="single"/>
        </w:rPr>
        <w:t>m for which recovery is sought;</w:t>
      </w:r>
    </w:p>
    <w:p w:rsidR="007A1425" w:rsidRPr="00620E57" w:rsidRDefault="007A1425" w:rsidP="0039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u w:val="single"/>
        </w:rPr>
      </w:pPr>
      <w:r w:rsidRPr="00990070">
        <w:rPr>
          <w:color w:val="000000"/>
        </w:rPr>
        <w:tab/>
      </w:r>
      <w:r w:rsidRPr="00990070">
        <w:rPr>
          <w:color w:val="000000"/>
        </w:rPr>
        <w:tab/>
      </w:r>
      <w:r w:rsidRPr="00620E57">
        <w:rPr>
          <w:color w:val="000000"/>
          <w:u w:val="single"/>
        </w:rPr>
        <w:t>(3)</w:t>
      </w:r>
      <w:r>
        <w:rPr>
          <w:color w:val="000000"/>
        </w:rPr>
        <w:tab/>
      </w:r>
      <w:r w:rsidRPr="00620E57">
        <w:rPr>
          <w:color w:val="000000"/>
          <w:u w:val="single"/>
        </w:rPr>
        <w:t>The seller provided the user or consumer an express warranty on the product; or</w:t>
      </w:r>
    </w:p>
    <w:p w:rsidR="007A1425" w:rsidRDefault="007A1425" w:rsidP="0039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990070">
        <w:rPr>
          <w:color w:val="000000"/>
        </w:rPr>
        <w:tab/>
      </w:r>
      <w:r w:rsidRPr="00990070">
        <w:rPr>
          <w:color w:val="000000"/>
        </w:rPr>
        <w:tab/>
      </w:r>
      <w:r w:rsidRPr="00620E57">
        <w:rPr>
          <w:color w:val="000000"/>
          <w:u w:val="single"/>
        </w:rPr>
        <w:t>(4)</w:t>
      </w:r>
      <w:r>
        <w:rPr>
          <w:color w:val="000000"/>
        </w:rPr>
        <w:tab/>
      </w:r>
      <w:r w:rsidRPr="00620E57">
        <w:rPr>
          <w:color w:val="000000"/>
          <w:u w:val="single"/>
        </w:rPr>
        <w:t>The manufacturer or distributor of the product is not subject to service of process in South Carolina and Section 36</w:t>
      </w:r>
      <w:r>
        <w:rPr>
          <w:color w:val="000000"/>
          <w:u w:val="single"/>
        </w:rPr>
        <w:noBreakHyphen/>
      </w:r>
      <w:r w:rsidRPr="00620E57">
        <w:rPr>
          <w:color w:val="000000"/>
          <w:u w:val="single"/>
        </w:rPr>
        <w:t>2</w:t>
      </w:r>
      <w:r>
        <w:rPr>
          <w:color w:val="000000"/>
          <w:u w:val="single"/>
        </w:rPr>
        <w:noBreakHyphen/>
      </w:r>
      <w:r w:rsidRPr="00620E57">
        <w:rPr>
          <w:color w:val="000000"/>
          <w:u w:val="single"/>
        </w:rPr>
        <w:t>803 does not provide a basis for personal jurisdiction over the manufacturer or distributor</w:t>
      </w:r>
      <w:r w:rsidRPr="00005A61">
        <w:rPr>
          <w:color w:val="000000"/>
        </w:rPr>
        <w:t>.</w:t>
      </w:r>
      <w:r>
        <w:rPr>
          <w:color w:val="000000"/>
        </w:rPr>
        <w:t>”</w:t>
      </w:r>
    </w:p>
    <w:p w:rsidR="007A1425" w:rsidRDefault="007A1425" w:rsidP="0062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7A1425" w:rsidRPr="0009657E" w:rsidRDefault="007A1425" w:rsidP="0062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rPr>
        <w:t>SECTION</w:t>
      </w:r>
      <w:r>
        <w:rPr>
          <w:color w:val="000000"/>
        </w:rPr>
        <w:tab/>
        <w:t>6.</w:t>
      </w:r>
      <w:r>
        <w:rPr>
          <w:color w:val="000000"/>
        </w:rPr>
        <w:tab/>
      </w:r>
      <w:r w:rsidRPr="002A21C8">
        <w:rPr>
          <w:color w:val="000000"/>
        </w:rPr>
        <w:t>Article 5, Chapter 32, Title 15 of the 1976 Code is repealed</w:t>
      </w:r>
      <w:r>
        <w:rPr>
          <w:color w:val="000000"/>
        </w:rPr>
        <w:t>.</w:t>
      </w:r>
    </w:p>
    <w:p w:rsidR="007A1425" w:rsidRDefault="007A1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425" w:rsidRPr="00522CE0" w:rsidRDefault="007A1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7.</w:t>
      </w:r>
      <w:r>
        <w:rPr>
          <w:rFonts w:eastAsia="Times New Roman"/>
        </w:rPr>
        <w:tab/>
        <w:t>This act takes effect upon approval by the Governor.</w:t>
      </w:r>
    </w:p>
    <w:p w:rsidR="007A1425" w:rsidRDefault="007A142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82738" w:rsidRDefault="00582738" w:rsidP="007A1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582738" w:rsidSect="00034BC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1A40" w:rsidRDefault="00391A40" w:rsidP="00522CE0">
      <w:r>
        <w:separator/>
      </w:r>
    </w:p>
  </w:endnote>
  <w:endnote w:type="continuationSeparator" w:id="0">
    <w:p w:rsidR="00391A40" w:rsidRDefault="00391A4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92BD25-BDDA-4134-9067-4543397B7112}"/>
    <w:embedBold r:id="rId2" w:fontKey="{220F1249-6C1E-4264-96FA-5884F27E9C6E}"/>
  </w:font>
  <w:font w:name="Calibri">
    <w:panose1 w:val="020F0502020204030204"/>
    <w:charset w:val="00"/>
    <w:family w:val="swiss"/>
    <w:pitch w:val="variable"/>
    <w:sig w:usb0="E00002FF" w:usb1="4000ACFF" w:usb2="00000001" w:usb3="00000000" w:csb0="0000019F" w:csb1="00000000"/>
    <w:embedRegular r:id="rId3" w:fontKey="{B60F6858-8317-4BC8-B484-F4AAF1A30A55}"/>
    <w:embedBold r:id="rId4" w:fontKey="{92B0F452-752A-4D0B-87D9-97647EAAD6C6}"/>
  </w:font>
  <w:font w:name="Cambria">
    <w:panose1 w:val="02040503050406030204"/>
    <w:charset w:val="00"/>
    <w:family w:val="roman"/>
    <w:pitch w:val="variable"/>
    <w:sig w:usb0="E00002FF" w:usb1="400004FF" w:usb2="00000000" w:usb3="00000000" w:csb0="0000019F" w:csb1="00000000"/>
    <w:embedRegular r:id="rId5" w:fontKey="{223952BE-888B-482B-9A1F-45ED0C35DE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FFA" w:rsidRPr="000614BD" w:rsidRDefault="000614BD" w:rsidP="000614BD">
    <w:pPr>
      <w:pStyle w:val="Footer"/>
      <w:tabs>
        <w:tab w:val="clear" w:pos="4680"/>
        <w:tab w:val="clear" w:pos="9360"/>
        <w:tab w:val="center" w:pos="2995"/>
      </w:tabs>
      <w:spacing w:before="120"/>
    </w:pPr>
    <w:r>
      <w:t>[282]</w:t>
    </w:r>
    <w:r>
      <w:tab/>
    </w:r>
    <w:r>
      <w:fldChar w:fldCharType="begin"/>
    </w:r>
    <w:r>
      <w:instrText xml:space="preserve"> PAGE  \* MERGEFORMAT </w:instrText>
    </w:r>
    <w:r>
      <w:fldChar w:fldCharType="separate"/>
    </w:r>
    <w:r w:rsidR="00C103E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1A40" w:rsidRDefault="00391A40" w:rsidP="00522CE0">
      <w:r>
        <w:separator/>
      </w:r>
    </w:p>
  </w:footnote>
  <w:footnote w:type="continuationSeparator" w:id="0">
    <w:p w:rsidR="00391A40" w:rsidRDefault="00391A4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LIAB.EB.ASM"/>
    <w:docVar w:name="CoverAttorneyInitials" w:val="EB"/>
    <w:docVar w:name="CoverAttorneyLastName" w:val="Bender"/>
    <w:docVar w:name="CoverBillType" w:val="b"/>
    <w:docVar w:name="CoverSenator" w:val="ASM"/>
    <w:docVar w:name="dvBillNumber" w:val="282"/>
    <w:docVar w:name="dvBillNumberPrefix" w:val="S. "/>
    <w:docVar w:name="dvOriginalBody" w:val="Senate"/>
    <w:docVar w:name="fulldraftpath" w:val="L:\S-RES\ASM\016LIAB.EB.ASM.DOCX"/>
    <w:docVar w:name="NameofBody" w:val="S"/>
    <w:docVar w:name="vgroup2" w:val="S-RES"/>
  </w:docVars>
  <w:rsids>
    <w:rsidRoot w:val="008C31DD"/>
    <w:rsid w:val="0003572D"/>
    <w:rsid w:val="00042AC1"/>
    <w:rsid w:val="00046516"/>
    <w:rsid w:val="000614BD"/>
    <w:rsid w:val="0007601D"/>
    <w:rsid w:val="0009657E"/>
    <w:rsid w:val="000B0720"/>
    <w:rsid w:val="000B5EAF"/>
    <w:rsid w:val="001315B2"/>
    <w:rsid w:val="00170561"/>
    <w:rsid w:val="00186AC9"/>
    <w:rsid w:val="00197DF1"/>
    <w:rsid w:val="001B3DD9"/>
    <w:rsid w:val="001B7E5D"/>
    <w:rsid w:val="001D3BAC"/>
    <w:rsid w:val="001F60F1"/>
    <w:rsid w:val="00216025"/>
    <w:rsid w:val="00245C4E"/>
    <w:rsid w:val="00253DC7"/>
    <w:rsid w:val="002A21C8"/>
    <w:rsid w:val="002C1321"/>
    <w:rsid w:val="002C2031"/>
    <w:rsid w:val="002C5896"/>
    <w:rsid w:val="002D3BED"/>
    <w:rsid w:val="00307C2B"/>
    <w:rsid w:val="00315C2D"/>
    <w:rsid w:val="00371EE4"/>
    <w:rsid w:val="00383247"/>
    <w:rsid w:val="00391A40"/>
    <w:rsid w:val="003D6E2B"/>
    <w:rsid w:val="003E7597"/>
    <w:rsid w:val="00412B82"/>
    <w:rsid w:val="00425751"/>
    <w:rsid w:val="0043400F"/>
    <w:rsid w:val="0044020F"/>
    <w:rsid w:val="00450668"/>
    <w:rsid w:val="004813A2"/>
    <w:rsid w:val="004952FA"/>
    <w:rsid w:val="004B6A22"/>
    <w:rsid w:val="004D7F37"/>
    <w:rsid w:val="00522CE0"/>
    <w:rsid w:val="005570AF"/>
    <w:rsid w:val="00565148"/>
    <w:rsid w:val="00570403"/>
    <w:rsid w:val="00582738"/>
    <w:rsid w:val="00593361"/>
    <w:rsid w:val="005A413B"/>
    <w:rsid w:val="005A5017"/>
    <w:rsid w:val="005A648C"/>
    <w:rsid w:val="005F1745"/>
    <w:rsid w:val="00620E57"/>
    <w:rsid w:val="006A1802"/>
    <w:rsid w:val="006B61E0"/>
    <w:rsid w:val="006C74EA"/>
    <w:rsid w:val="00707CEA"/>
    <w:rsid w:val="00720D40"/>
    <w:rsid w:val="007318D4"/>
    <w:rsid w:val="00765784"/>
    <w:rsid w:val="007A0FFA"/>
    <w:rsid w:val="007A1425"/>
    <w:rsid w:val="007A4390"/>
    <w:rsid w:val="007E5CB7"/>
    <w:rsid w:val="007F5A4E"/>
    <w:rsid w:val="0082155E"/>
    <w:rsid w:val="008314D2"/>
    <w:rsid w:val="008B2F42"/>
    <w:rsid w:val="008C31DD"/>
    <w:rsid w:val="008C3697"/>
    <w:rsid w:val="008E185F"/>
    <w:rsid w:val="008F023B"/>
    <w:rsid w:val="00904E16"/>
    <w:rsid w:val="009162B3"/>
    <w:rsid w:val="00927C62"/>
    <w:rsid w:val="00962110"/>
    <w:rsid w:val="00983951"/>
    <w:rsid w:val="00984124"/>
    <w:rsid w:val="00984640"/>
    <w:rsid w:val="00990070"/>
    <w:rsid w:val="00995C37"/>
    <w:rsid w:val="009C118A"/>
    <w:rsid w:val="009E64C3"/>
    <w:rsid w:val="009F6407"/>
    <w:rsid w:val="00A02011"/>
    <w:rsid w:val="00A4011E"/>
    <w:rsid w:val="00A5258C"/>
    <w:rsid w:val="00A74B24"/>
    <w:rsid w:val="00A86015"/>
    <w:rsid w:val="00A9594E"/>
    <w:rsid w:val="00AE59C8"/>
    <w:rsid w:val="00B10098"/>
    <w:rsid w:val="00B5790D"/>
    <w:rsid w:val="00B945C5"/>
    <w:rsid w:val="00BA20EA"/>
    <w:rsid w:val="00BB5AFC"/>
    <w:rsid w:val="00BC0A56"/>
    <w:rsid w:val="00BE6ADC"/>
    <w:rsid w:val="00C043F1"/>
    <w:rsid w:val="00C103EC"/>
    <w:rsid w:val="00C45366"/>
    <w:rsid w:val="00C57023"/>
    <w:rsid w:val="00C74052"/>
    <w:rsid w:val="00CB187A"/>
    <w:rsid w:val="00CC0EC7"/>
    <w:rsid w:val="00D1088B"/>
    <w:rsid w:val="00D14DE6"/>
    <w:rsid w:val="00D156D2"/>
    <w:rsid w:val="00D200B4"/>
    <w:rsid w:val="00D35486"/>
    <w:rsid w:val="00D53E29"/>
    <w:rsid w:val="00D86943"/>
    <w:rsid w:val="00D87637"/>
    <w:rsid w:val="00DA47B9"/>
    <w:rsid w:val="00DE5635"/>
    <w:rsid w:val="00E058D3"/>
    <w:rsid w:val="00E76AD9"/>
    <w:rsid w:val="00E77AE4"/>
    <w:rsid w:val="00E91E2F"/>
    <w:rsid w:val="00EA3546"/>
    <w:rsid w:val="00EB47AE"/>
    <w:rsid w:val="00EC34E1"/>
    <w:rsid w:val="00F0234A"/>
    <w:rsid w:val="00F05CF2"/>
    <w:rsid w:val="00F15074"/>
    <w:rsid w:val="00F1512F"/>
    <w:rsid w:val="00F51241"/>
    <w:rsid w:val="00F52959"/>
    <w:rsid w:val="00F55884"/>
    <w:rsid w:val="00FB7F01"/>
    <w:rsid w:val="00FC0D36"/>
    <w:rsid w:val="00FE6467"/>
    <w:rsid w:val="00FE7BE3"/>
    <w:rsid w:val="00FF3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6C22111C-8A35-4655-B9FE-C7DF952C9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827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82&amp;session=121&amp;summary=B"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15-16\282_20150210.docx" TargetMode="External"/><Relationship Id="rId4" Type="http://schemas.openxmlformats.org/officeDocument/2006/relationships/footnotes" Target="footnotes.xml"/><Relationship Id="rId9" Type="http://schemas.openxmlformats.org/officeDocument/2006/relationships/hyperlink" Target="file:///p:\pprever\2015-16\282_2015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2377</Words>
  <Characters>13552</Characters>
  <Application>Microsoft Office Word</Application>
  <DocSecurity>6</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282: Noneconomic damages limit - South Carolina Legislature Online</dc:title>
  <dc:subject/>
  <dc:creator>%USERNAME%</dc:creator>
  <cp:keywords/>
  <dc:description/>
  <cp:lastModifiedBy>N Cumfer</cp:lastModifiedBy>
  <cp:revision>2</cp:revision>
  <dcterms:created xsi:type="dcterms:W3CDTF">2016-12-02T16:57:00Z</dcterms:created>
  <dcterms:modified xsi:type="dcterms:W3CDTF">2016-12-02T16:57:00Z</dcterms:modified>
</cp:coreProperties>
</file>