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82C" w:rsidRDefault="001E482C" w:rsidP="001E482C">
      <w:pPr>
        <w:widowControl w:val="0"/>
        <w:jc w:val="center"/>
      </w:pPr>
      <w:bookmarkStart w:id="0" w:name="_GoBack"/>
      <w:bookmarkEnd w:id="0"/>
      <w:r w:rsidRPr="001E482C">
        <w:rPr>
          <w:b/>
        </w:rPr>
        <w:t>South Carolina General Assembly</w:t>
      </w:r>
    </w:p>
    <w:p w:rsidR="001E482C" w:rsidRDefault="001E482C" w:rsidP="001E482C">
      <w:pPr>
        <w:widowControl w:val="0"/>
        <w:jc w:val="center"/>
      </w:pPr>
      <w:r>
        <w:t>121st Session, 2015-2016</w:t>
      </w:r>
    </w:p>
    <w:p w:rsidR="001E482C" w:rsidRDefault="001E482C" w:rsidP="001E482C">
      <w:pPr>
        <w:widowControl w:val="0"/>
        <w:jc w:val="left"/>
      </w:pPr>
    </w:p>
    <w:p w:rsidR="001E482C" w:rsidRDefault="001E482C" w:rsidP="001E482C">
      <w:pPr>
        <w:widowControl w:val="0"/>
        <w:jc w:val="left"/>
        <w:rPr>
          <w:b/>
        </w:rPr>
      </w:pPr>
      <w:r w:rsidRPr="001E482C">
        <w:rPr>
          <w:b/>
        </w:rPr>
        <w:t>H. 3322</w:t>
      </w:r>
    </w:p>
    <w:p w:rsidR="001E482C" w:rsidRDefault="001E482C" w:rsidP="001E482C">
      <w:pPr>
        <w:widowControl w:val="0"/>
        <w:jc w:val="left"/>
        <w:rPr>
          <w:b/>
        </w:rPr>
      </w:pPr>
    </w:p>
    <w:p w:rsidR="001E482C" w:rsidRDefault="001E482C" w:rsidP="001E482C">
      <w:pPr>
        <w:widowControl w:val="0"/>
        <w:jc w:val="left"/>
      </w:pPr>
      <w:r w:rsidRPr="001E482C">
        <w:rPr>
          <w:b/>
        </w:rPr>
        <w:t>STATUS INFORMATION</w:t>
      </w:r>
    </w:p>
    <w:p w:rsidR="001E482C" w:rsidRDefault="001E482C" w:rsidP="001E482C">
      <w:pPr>
        <w:widowControl w:val="0"/>
        <w:jc w:val="left"/>
      </w:pPr>
    </w:p>
    <w:p w:rsidR="001E482C" w:rsidRDefault="001E482C" w:rsidP="001E482C">
      <w:pPr>
        <w:widowControl w:val="0"/>
        <w:jc w:val="left"/>
      </w:pPr>
      <w:r>
        <w:t>General Bill</w:t>
      </w:r>
    </w:p>
    <w:p w:rsidR="001E482C" w:rsidRDefault="001E482C" w:rsidP="001E482C">
      <w:pPr>
        <w:widowControl w:val="0"/>
        <w:jc w:val="left"/>
      </w:pPr>
      <w:r>
        <w:t>Sponsors: Reps. Bannister and Nanney</w:t>
      </w:r>
    </w:p>
    <w:p w:rsidR="001E482C" w:rsidRDefault="001E482C" w:rsidP="001E482C">
      <w:pPr>
        <w:widowControl w:val="0"/>
        <w:jc w:val="left"/>
      </w:pPr>
      <w:r>
        <w:t>Document Path: l:\council\bills\dka\3026sa15.docx</w:t>
      </w:r>
    </w:p>
    <w:p w:rsidR="001E482C" w:rsidRDefault="001E482C" w:rsidP="001E482C">
      <w:pPr>
        <w:widowControl w:val="0"/>
        <w:jc w:val="left"/>
      </w:pPr>
    </w:p>
    <w:p w:rsidR="001E482C" w:rsidRDefault="001E482C" w:rsidP="001E482C">
      <w:pPr>
        <w:widowControl w:val="0"/>
        <w:jc w:val="left"/>
      </w:pPr>
      <w:r>
        <w:t>Introduced in the House on January 15, 2015</w:t>
      </w:r>
    </w:p>
    <w:p w:rsidR="001E482C" w:rsidRDefault="001E482C" w:rsidP="001E482C">
      <w:pPr>
        <w:widowControl w:val="0"/>
        <w:jc w:val="left"/>
      </w:pPr>
      <w:r>
        <w:t xml:space="preserve">Currently residing in the House Committee on </w:t>
      </w:r>
      <w:r w:rsidRPr="001E482C">
        <w:rPr>
          <w:b/>
        </w:rPr>
        <w:t>Ways and Means</w:t>
      </w:r>
    </w:p>
    <w:p w:rsidR="001E482C" w:rsidRDefault="001E482C" w:rsidP="001E482C">
      <w:pPr>
        <w:widowControl w:val="0"/>
        <w:jc w:val="left"/>
      </w:pPr>
    </w:p>
    <w:p w:rsidR="001E482C" w:rsidRDefault="001E482C" w:rsidP="001E482C">
      <w:pPr>
        <w:widowControl w:val="0"/>
        <w:jc w:val="left"/>
      </w:pPr>
      <w:r>
        <w:t xml:space="preserve">Summary: </w:t>
      </w:r>
      <w:r w:rsidR="00973DD6">
        <w:t>Electronic Tax Lien Oversight Committee</w:t>
      </w:r>
    </w:p>
    <w:p w:rsidR="001E482C" w:rsidRDefault="001E482C" w:rsidP="001E482C">
      <w:pPr>
        <w:widowControl w:val="0"/>
        <w:jc w:val="left"/>
      </w:pPr>
    </w:p>
    <w:p w:rsidR="001E482C" w:rsidRDefault="001E482C" w:rsidP="001E482C">
      <w:pPr>
        <w:widowControl w:val="0"/>
        <w:jc w:val="left"/>
      </w:pPr>
    </w:p>
    <w:p w:rsidR="001E482C" w:rsidRDefault="001E482C" w:rsidP="001E482C">
      <w:pPr>
        <w:widowControl w:val="0"/>
        <w:tabs>
          <w:tab w:val="center" w:pos="590"/>
          <w:tab w:val="center" w:pos="1440"/>
          <w:tab w:val="left" w:pos="1872"/>
          <w:tab w:val="left" w:pos="9187"/>
        </w:tabs>
        <w:jc w:val="left"/>
      </w:pPr>
      <w:r w:rsidRPr="001E482C">
        <w:rPr>
          <w:b/>
        </w:rPr>
        <w:t>HISTORY OF LEGISLATIVE ACTIONS</w:t>
      </w:r>
    </w:p>
    <w:p w:rsidR="001E482C" w:rsidRDefault="001E482C" w:rsidP="001E482C">
      <w:pPr>
        <w:widowControl w:val="0"/>
        <w:tabs>
          <w:tab w:val="center" w:pos="590"/>
          <w:tab w:val="center" w:pos="1440"/>
          <w:tab w:val="left" w:pos="1872"/>
          <w:tab w:val="left" w:pos="9187"/>
        </w:tabs>
        <w:jc w:val="left"/>
      </w:pPr>
    </w:p>
    <w:p w:rsidR="001E482C" w:rsidRPr="001E482C" w:rsidRDefault="001E482C" w:rsidP="001E482C">
      <w:pPr>
        <w:widowControl w:val="0"/>
        <w:tabs>
          <w:tab w:val="center" w:pos="590"/>
          <w:tab w:val="center" w:pos="1440"/>
          <w:tab w:val="left" w:pos="1872"/>
          <w:tab w:val="left" w:pos="9187"/>
        </w:tabs>
        <w:jc w:val="left"/>
      </w:pPr>
      <w:r w:rsidRPr="001E482C">
        <w:rPr>
          <w:u w:val="single"/>
        </w:rPr>
        <w:tab/>
        <w:t>Date</w:t>
      </w:r>
      <w:r w:rsidRPr="001E482C">
        <w:rPr>
          <w:u w:val="single"/>
        </w:rPr>
        <w:tab/>
        <w:t>Body</w:t>
      </w:r>
      <w:r w:rsidRPr="001E482C">
        <w:rPr>
          <w:u w:val="single"/>
        </w:rPr>
        <w:tab/>
        <w:t>Action Description with journal page number</w:t>
      </w:r>
      <w:r w:rsidRPr="001E482C">
        <w:rPr>
          <w:u w:val="single"/>
        </w:rPr>
        <w:tab/>
      </w:r>
    </w:p>
    <w:p w:rsidR="00F239FC" w:rsidRDefault="00F239FC" w:rsidP="00F239FC">
      <w:pPr>
        <w:widowControl w:val="0"/>
        <w:tabs>
          <w:tab w:val="right" w:pos="1008"/>
          <w:tab w:val="left" w:pos="1152"/>
          <w:tab w:val="left" w:pos="1872"/>
          <w:tab w:val="left" w:pos="9187"/>
        </w:tabs>
        <w:ind w:left="2088" w:hanging="2088"/>
        <w:jc w:val="left"/>
      </w:pPr>
      <w:r>
        <w:tab/>
        <w:t>1/15/2015</w:t>
      </w:r>
      <w:r>
        <w:tab/>
        <w:t>House</w:t>
      </w:r>
      <w:r>
        <w:tab/>
      </w:r>
      <w:r w:rsidRPr="00CD0A6B">
        <w:t>Introduced and read first time (</w:t>
      </w:r>
      <w:hyperlink r:id="rId7" w:history="1">
        <w:r w:rsidRPr="00E2564E">
          <w:rPr>
            <w:rStyle w:val="Hyperlink"/>
          </w:rPr>
          <w:t>House Journal</w:t>
        </w:r>
        <w:r w:rsidRPr="00E2564E">
          <w:rPr>
            <w:rStyle w:val="Hyperlink"/>
          </w:rPr>
          <w:noBreakHyphen/>
          <w:t>page 324</w:t>
        </w:r>
      </w:hyperlink>
      <w:r w:rsidRPr="00CD0A6B">
        <w:t>)</w:t>
      </w:r>
    </w:p>
    <w:p w:rsidR="00F239FC" w:rsidRDefault="00F239FC" w:rsidP="00F239FC">
      <w:pPr>
        <w:widowControl w:val="0"/>
        <w:tabs>
          <w:tab w:val="right" w:pos="1008"/>
          <w:tab w:val="left" w:pos="1152"/>
          <w:tab w:val="left" w:pos="1872"/>
          <w:tab w:val="left" w:pos="9187"/>
        </w:tabs>
        <w:ind w:left="2088" w:hanging="2088"/>
        <w:jc w:val="left"/>
      </w:pPr>
      <w:r>
        <w:tab/>
        <w:t>1/15/2015</w:t>
      </w:r>
      <w:r>
        <w:tab/>
        <w:t>House</w:t>
      </w:r>
      <w:r>
        <w:tab/>
      </w:r>
      <w:r w:rsidRPr="00CD0A6B">
        <w:t>Referred</w:t>
      </w:r>
      <w:r>
        <w:t xml:space="preserve"> to Committee on </w:t>
      </w:r>
      <w:r w:rsidRPr="00CD0A6B">
        <w:rPr>
          <w:b/>
        </w:rPr>
        <w:t>Ways and Means</w:t>
      </w:r>
      <w:r>
        <w:t xml:space="preserve"> </w:t>
      </w:r>
      <w:r w:rsidRPr="00CD0A6B">
        <w:t>(</w:t>
      </w:r>
      <w:hyperlink r:id="rId8" w:history="1">
        <w:r w:rsidRPr="00E2564E">
          <w:rPr>
            <w:rStyle w:val="Hyperlink"/>
          </w:rPr>
          <w:t>House Journal</w:t>
        </w:r>
        <w:r w:rsidRPr="00E2564E">
          <w:rPr>
            <w:rStyle w:val="Hyperlink"/>
          </w:rPr>
          <w:noBreakHyphen/>
          <w:t>page 324</w:t>
        </w:r>
      </w:hyperlink>
      <w:r w:rsidRPr="00CD0A6B">
        <w:t>)</w:t>
      </w:r>
    </w:p>
    <w:p w:rsidR="00F239FC" w:rsidRDefault="00F239FC" w:rsidP="00F239FC">
      <w:pPr>
        <w:widowControl w:val="0"/>
        <w:tabs>
          <w:tab w:val="right" w:pos="1008"/>
          <w:tab w:val="left" w:pos="1152"/>
          <w:tab w:val="left" w:pos="1872"/>
          <w:tab w:val="left" w:pos="9187"/>
        </w:tabs>
        <w:ind w:left="2088" w:hanging="2088"/>
        <w:jc w:val="left"/>
      </w:pPr>
    </w:p>
    <w:p w:rsidR="001E482C" w:rsidRDefault="001E482C" w:rsidP="001E482C">
      <w:pPr>
        <w:widowControl w:val="0"/>
        <w:tabs>
          <w:tab w:val="right" w:pos="1008"/>
          <w:tab w:val="left" w:pos="1152"/>
          <w:tab w:val="left" w:pos="1872"/>
          <w:tab w:val="left" w:pos="9187"/>
        </w:tabs>
        <w:ind w:left="2088" w:hanging="2088"/>
        <w:jc w:val="left"/>
      </w:pPr>
      <w:r>
        <w:t xml:space="preserve">View the latest </w:t>
      </w:r>
      <w:hyperlink r:id="rId9" w:history="1">
        <w:r w:rsidRPr="001E482C">
          <w:rPr>
            <w:rStyle w:val="Hyperlink"/>
          </w:rPr>
          <w:t>legislative information</w:t>
        </w:r>
      </w:hyperlink>
      <w:r>
        <w:t xml:space="preserve"> at the website</w:t>
      </w:r>
    </w:p>
    <w:p w:rsidR="001E482C" w:rsidRDefault="001E482C" w:rsidP="001E482C">
      <w:pPr>
        <w:widowControl w:val="0"/>
        <w:tabs>
          <w:tab w:val="right" w:pos="1008"/>
          <w:tab w:val="left" w:pos="1152"/>
          <w:tab w:val="left" w:pos="1872"/>
          <w:tab w:val="left" w:pos="9187"/>
        </w:tabs>
        <w:ind w:left="2088" w:hanging="2088"/>
        <w:jc w:val="left"/>
      </w:pPr>
    </w:p>
    <w:p w:rsidR="001E482C" w:rsidRPr="001E482C" w:rsidRDefault="001E482C" w:rsidP="001E482C">
      <w:pPr>
        <w:widowControl w:val="0"/>
        <w:tabs>
          <w:tab w:val="right" w:pos="1008"/>
          <w:tab w:val="left" w:pos="1152"/>
          <w:tab w:val="left" w:pos="1872"/>
          <w:tab w:val="left" w:pos="9187"/>
        </w:tabs>
        <w:ind w:left="2088" w:hanging="2088"/>
        <w:jc w:val="left"/>
      </w:pPr>
    </w:p>
    <w:p w:rsidR="001E482C" w:rsidRDefault="001E482C" w:rsidP="001E482C">
      <w:pPr>
        <w:widowControl w:val="0"/>
        <w:jc w:val="left"/>
      </w:pPr>
      <w:r w:rsidRPr="001E482C">
        <w:rPr>
          <w:b/>
        </w:rPr>
        <w:t>VERSIONS OF THIS BILL</w:t>
      </w:r>
    </w:p>
    <w:p w:rsidR="001E482C" w:rsidRDefault="001E482C" w:rsidP="001E482C">
      <w:pPr>
        <w:widowControl w:val="0"/>
        <w:jc w:val="left"/>
      </w:pPr>
    </w:p>
    <w:p w:rsidR="001E482C" w:rsidRDefault="00E2564E" w:rsidP="001E482C">
      <w:pPr>
        <w:widowControl w:val="0"/>
        <w:jc w:val="left"/>
      </w:pPr>
      <w:hyperlink r:id="rId10" w:history="1">
        <w:r w:rsidR="001E482C">
          <w:rPr>
            <w:rStyle w:val="Hyperlink"/>
          </w:rPr>
          <w:t>1/15/2015</w:t>
        </w:r>
      </w:hyperlink>
    </w:p>
    <w:p w:rsidR="001E482C" w:rsidRDefault="001E482C" w:rsidP="001E482C"/>
    <w:p w:rsidR="001E482C" w:rsidRDefault="001E482C" w:rsidP="001E482C">
      <w:pPr>
        <w:sectPr w:rsidR="001E482C" w:rsidSect="001E482C">
          <w:pgSz w:w="12240" w:h="15840" w:code="1"/>
          <w:pgMar w:top="1080" w:right="1440" w:bottom="1080" w:left="1440" w:header="720" w:footer="720" w:gutter="0"/>
          <w:cols w:space="720"/>
          <w:noEndnote/>
          <w:docGrid w:linePitch="360"/>
        </w:sectPr>
      </w:pPr>
    </w:p>
    <w:p w:rsidR="00DF3764" w:rsidRDefault="00DF3764" w:rsidP="002D1612">
      <w:pPr>
        <w:tabs>
          <w:tab w:val="left" w:pos="1260"/>
        </w:tabs>
      </w:pPr>
    </w:p>
    <w:p w:rsidR="00177AE6" w:rsidRDefault="00177AE6" w:rsidP="00177AE6"/>
    <w:p w:rsidR="00177AE6" w:rsidRDefault="00177AE6" w:rsidP="00177AE6"/>
    <w:p w:rsidR="00177AE6" w:rsidRDefault="00177AE6" w:rsidP="00177AE6"/>
    <w:p w:rsidR="00177AE6" w:rsidRDefault="00177AE6" w:rsidP="00177AE6"/>
    <w:p w:rsidR="00177AE6" w:rsidRDefault="00177AE6" w:rsidP="00177AE6"/>
    <w:p w:rsidR="00177AE6" w:rsidRDefault="00177AE6" w:rsidP="00177AE6"/>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2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2013">
        <w:rPr>
          <w:color w:val="000000" w:themeColor="text1"/>
          <w:u w:color="000000" w:themeColor="text1"/>
        </w:rPr>
        <w:t>TO AMEND SECTION 12</w:t>
      </w:r>
      <w:r>
        <w:rPr>
          <w:color w:val="000000" w:themeColor="text1"/>
          <w:u w:color="000000" w:themeColor="text1"/>
        </w:rPr>
        <w:noBreakHyphen/>
      </w:r>
      <w:r w:rsidRPr="00012013">
        <w:rPr>
          <w:color w:val="000000" w:themeColor="text1"/>
          <w:u w:color="000000" w:themeColor="text1"/>
        </w:rPr>
        <w:t>54</w:t>
      </w:r>
      <w:r>
        <w:rPr>
          <w:color w:val="000000" w:themeColor="text1"/>
          <w:u w:color="000000" w:themeColor="text1"/>
        </w:rPr>
        <w:noBreakHyphen/>
      </w:r>
      <w:r w:rsidRPr="00012013">
        <w:rPr>
          <w:color w:val="000000" w:themeColor="text1"/>
          <w:u w:color="000000" w:themeColor="text1"/>
        </w:rPr>
        <w:t>122, CODE OF LAWS OF SOUTH CAROLINA, 1976, RELATING TO TAX LIENS, SO AS TO ALLOW THE DEPARTMENT OF REVENUE TO FILE TAX LIENS VALIDLY BY IMPLEMENTING AN INTERNET ACCESSIBLE NOTICE SYSTEM, AND TO CREATE THE ELECTRONIC TAX LIEN OVERSIGHT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21E" w:rsidRDefault="00CA5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521E" w:rsidRDefault="00CA5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41" w:rsidRPr="00012013" w:rsidRDefault="00CA521E"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0241" w:rsidRPr="00012013">
        <w:rPr>
          <w:color w:val="000000" w:themeColor="text1"/>
          <w:u w:color="000000" w:themeColor="text1"/>
        </w:rPr>
        <w:t>Section 12</w:t>
      </w:r>
      <w:r w:rsidR="00F70241">
        <w:rPr>
          <w:color w:val="000000" w:themeColor="text1"/>
          <w:u w:color="000000" w:themeColor="text1"/>
        </w:rPr>
        <w:noBreakHyphen/>
      </w:r>
      <w:r w:rsidR="00F70241" w:rsidRPr="00012013">
        <w:rPr>
          <w:color w:val="000000" w:themeColor="text1"/>
          <w:u w:color="000000" w:themeColor="text1"/>
        </w:rPr>
        <w:t>54</w:t>
      </w:r>
      <w:r w:rsidR="00F70241">
        <w:rPr>
          <w:color w:val="000000" w:themeColor="text1"/>
          <w:u w:color="000000" w:themeColor="text1"/>
        </w:rPr>
        <w:noBreakHyphen/>
      </w:r>
      <w:r w:rsidR="00F70241" w:rsidRPr="00012013">
        <w:rPr>
          <w:color w:val="000000" w:themeColor="text1"/>
          <w:u w:color="000000" w:themeColor="text1"/>
        </w:rPr>
        <w:t>122(G) of the 1976 Code is amended by adding an appropriately numbered item at the end to read: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t>“(  )(a)</w:t>
      </w:r>
      <w:r w:rsidRPr="00012013">
        <w:rPr>
          <w:color w:val="000000" w:themeColor="text1"/>
          <w:u w:color="000000" w:themeColor="text1"/>
        </w:rPr>
        <w:tab/>
        <w:t>In</w:t>
      </w:r>
      <w:r>
        <w:rPr>
          <w:color w:val="000000" w:themeColor="text1"/>
          <w:u w:color="000000" w:themeColor="text1"/>
        </w:rPr>
        <w:t>stead</w:t>
      </w:r>
      <w:r w:rsidRPr="00012013">
        <w:rPr>
          <w:color w:val="000000" w:themeColor="text1"/>
          <w:u w:color="000000" w:themeColor="text1"/>
        </w:rPr>
        <w:t xml:space="preserve"> of or in addition to the filing of the tax lien notice pursuant to item (1), the department may implement a system of filing and indexing liens which must be accessible to the public over the Internet or through other means as the department </w:t>
      </w:r>
      <w:r>
        <w:rPr>
          <w:color w:val="000000" w:themeColor="text1"/>
          <w:u w:color="000000" w:themeColor="text1"/>
        </w:rPr>
        <w:t>considers</w:t>
      </w:r>
      <w:r w:rsidRPr="00012013">
        <w:rPr>
          <w:color w:val="000000" w:themeColor="text1"/>
          <w:u w:color="000000" w:themeColor="text1"/>
        </w:rPr>
        <w:t xml:space="preserve"> appropriate.  The liens filed pursuant to this item are effective statewide from the date and time they are recorded and encumber all the taxpayer</w:t>
      </w:r>
      <w:r w:rsidRPr="00F70241">
        <w:rPr>
          <w:color w:val="000000" w:themeColor="text1"/>
          <w:u w:color="000000" w:themeColor="text1"/>
        </w:rPr>
        <w:t>’</w:t>
      </w:r>
      <w:r w:rsidRPr="00012013">
        <w:rPr>
          <w:color w:val="000000" w:themeColor="text1"/>
          <w:u w:color="000000" w:themeColor="text1"/>
        </w:rPr>
        <w:t>s property and rights to property as provided in Section 12</w:t>
      </w:r>
      <w:r>
        <w:rPr>
          <w:color w:val="000000" w:themeColor="text1"/>
          <w:u w:color="000000" w:themeColor="text1"/>
        </w:rPr>
        <w:noBreakHyphen/>
      </w:r>
      <w:r w:rsidRPr="00012013">
        <w:rPr>
          <w:color w:val="000000" w:themeColor="text1"/>
          <w:u w:color="000000" w:themeColor="text1"/>
        </w:rPr>
        <w:t>54</w:t>
      </w:r>
      <w:r>
        <w:rPr>
          <w:color w:val="000000" w:themeColor="text1"/>
          <w:u w:color="000000" w:themeColor="text1"/>
        </w:rPr>
        <w:noBreakHyphen/>
      </w:r>
      <w:r w:rsidRPr="00012013">
        <w:rPr>
          <w:color w:val="000000" w:themeColor="text1"/>
          <w:u w:color="000000" w:themeColor="text1"/>
        </w:rPr>
        <w:t>120, regardless of the property</w:t>
      </w:r>
      <w:r w:rsidRPr="00F70241">
        <w:rPr>
          <w:color w:val="000000" w:themeColor="text1"/>
          <w:u w:color="000000" w:themeColor="text1"/>
        </w:rPr>
        <w:t>’</w:t>
      </w:r>
      <w:r w:rsidRPr="00012013">
        <w:rPr>
          <w:color w:val="000000" w:themeColor="text1"/>
          <w:u w:color="000000" w:themeColor="text1"/>
        </w:rPr>
        <w:t>s location.  Liens filed under item (1) continue to be effective from the date and time they were recorded.  Nothing in this item may be construed so as to extend the effectiveness of the lien beyond ten years from the date of filing, as provided in Section 12</w:t>
      </w:r>
      <w:r>
        <w:rPr>
          <w:color w:val="000000" w:themeColor="text1"/>
          <w:u w:color="000000" w:themeColor="text1"/>
        </w:rPr>
        <w:noBreakHyphen/>
      </w:r>
      <w:r w:rsidRPr="00012013">
        <w:rPr>
          <w:color w:val="000000" w:themeColor="text1"/>
          <w:u w:color="000000" w:themeColor="text1"/>
        </w:rPr>
        <w:t>54</w:t>
      </w:r>
      <w:r>
        <w:rPr>
          <w:color w:val="000000" w:themeColor="text1"/>
          <w:u w:color="000000" w:themeColor="text1"/>
        </w:rPr>
        <w:noBreakHyphen/>
      </w:r>
      <w:r w:rsidRPr="00012013">
        <w:rPr>
          <w:color w:val="000000" w:themeColor="text1"/>
          <w:u w:color="000000" w:themeColor="text1"/>
        </w:rPr>
        <w:t>120.</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t>(b)</w:t>
      </w:r>
      <w:r w:rsidR="00AF637C">
        <w:rPr>
          <w:color w:val="000000" w:themeColor="text1"/>
          <w:u w:color="000000" w:themeColor="text1"/>
        </w:rPr>
        <w:tab/>
      </w:r>
      <w:r w:rsidRPr="00012013">
        <w:rPr>
          <w:color w:val="000000" w:themeColor="text1"/>
          <w:u w:color="000000" w:themeColor="text1"/>
        </w:rPr>
        <w:t xml:space="preserve">There is established the Electronic Tax Lien Oversight Committee to ensure tax liens are electronically filed and indexed accurately. </w:t>
      </w:r>
      <w:r w:rsidR="00CD44D1">
        <w:rPr>
          <w:color w:val="000000" w:themeColor="text1"/>
          <w:u w:color="000000" w:themeColor="text1"/>
        </w:rPr>
        <w:t>Within thirty days of the effective date, the Governor shall appoint the foll</w:t>
      </w:r>
      <w:r w:rsidRPr="00012013">
        <w:rPr>
          <w:color w:val="000000" w:themeColor="text1"/>
          <w:u w:color="000000" w:themeColor="text1"/>
        </w:rPr>
        <w:t xml:space="preserve">owing nine members: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012013">
        <w:rPr>
          <w:color w:val="000000" w:themeColor="text1"/>
          <w:u w:color="000000" w:themeColor="text1"/>
        </w:rPr>
        <w:t xml:space="preserve">Secretary of State, </w:t>
      </w:r>
      <w:r w:rsidR="00B56378">
        <w:rPr>
          <w:color w:val="000000" w:themeColor="text1"/>
          <w:u w:color="000000" w:themeColor="text1"/>
        </w:rPr>
        <w:t>who shall serve</w:t>
      </w:r>
      <w:r w:rsidRPr="00012013">
        <w:rPr>
          <w:color w:val="000000" w:themeColor="text1"/>
          <w:u w:color="000000" w:themeColor="text1"/>
        </w:rPr>
        <w:t xml:space="preserve"> as chairman;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012013">
        <w:rPr>
          <w:color w:val="000000" w:themeColor="text1"/>
          <w:u w:color="000000" w:themeColor="text1"/>
        </w:rPr>
        <w:t xml:space="preserve">the </w:t>
      </w:r>
      <w:r w:rsidR="00F03574" w:rsidRPr="00012013">
        <w:rPr>
          <w:color w:val="000000" w:themeColor="text1"/>
          <w:u w:color="000000" w:themeColor="text1"/>
        </w:rPr>
        <w:t>register of deeds</w:t>
      </w:r>
      <w:r w:rsidRPr="00012013">
        <w:rPr>
          <w:color w:val="000000" w:themeColor="text1"/>
          <w:u w:color="000000" w:themeColor="text1"/>
        </w:rPr>
        <w:t xml:space="preserve"> of a county with a population over one hundred thousand;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012013">
        <w:rPr>
          <w:color w:val="000000" w:themeColor="text1"/>
          <w:u w:color="000000" w:themeColor="text1"/>
        </w:rPr>
        <w:t xml:space="preserve">the </w:t>
      </w:r>
      <w:r w:rsidR="00F03574" w:rsidRPr="00012013">
        <w:rPr>
          <w:color w:val="000000" w:themeColor="text1"/>
          <w:u w:color="000000" w:themeColor="text1"/>
        </w:rPr>
        <w:t>register of deeds</w:t>
      </w:r>
      <w:r w:rsidRPr="00012013">
        <w:rPr>
          <w:color w:val="000000" w:themeColor="text1"/>
          <w:u w:color="000000" w:themeColor="text1"/>
        </w:rPr>
        <w:t xml:space="preserve"> of a county with a population greater than thirty</w:t>
      </w:r>
      <w:r>
        <w:rPr>
          <w:color w:val="000000" w:themeColor="text1"/>
          <w:u w:color="000000" w:themeColor="text1"/>
        </w:rPr>
        <w:noBreakHyphen/>
      </w:r>
      <w:r w:rsidRPr="00012013">
        <w:rPr>
          <w:color w:val="000000" w:themeColor="text1"/>
          <w:u w:color="000000" w:themeColor="text1"/>
        </w:rPr>
        <w:t>three thousand but less than one hundred thousand;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012013">
        <w:rPr>
          <w:color w:val="000000" w:themeColor="text1"/>
          <w:u w:color="000000" w:themeColor="text1"/>
        </w:rPr>
        <w:t xml:space="preserve">the </w:t>
      </w:r>
      <w:r w:rsidR="00F03574" w:rsidRPr="00012013">
        <w:rPr>
          <w:color w:val="000000" w:themeColor="text1"/>
          <w:u w:color="000000" w:themeColor="text1"/>
        </w:rPr>
        <w:t>register of deeds</w:t>
      </w:r>
      <w:r w:rsidRPr="00012013">
        <w:rPr>
          <w:color w:val="000000" w:themeColor="text1"/>
          <w:u w:color="000000" w:themeColor="text1"/>
        </w:rPr>
        <w:t xml:space="preserve"> of a county with a population less than thirty</w:t>
      </w:r>
      <w:r>
        <w:rPr>
          <w:color w:val="000000" w:themeColor="text1"/>
          <w:u w:color="000000" w:themeColor="text1"/>
        </w:rPr>
        <w:noBreakHyphen/>
      </w:r>
      <w:r w:rsidRPr="00012013">
        <w:rPr>
          <w:color w:val="000000" w:themeColor="text1"/>
          <w:u w:color="000000" w:themeColor="text1"/>
        </w:rPr>
        <w:t xml:space="preserve">three thousand;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r>
      <w:r w:rsidRPr="00012013">
        <w:rPr>
          <w:color w:val="000000" w:themeColor="text1"/>
          <w:u w:color="000000" w:themeColor="text1"/>
        </w:rPr>
        <w:tab/>
      </w:r>
      <w:r>
        <w:rPr>
          <w:color w:val="000000" w:themeColor="text1"/>
          <w:u w:color="000000" w:themeColor="text1"/>
        </w:rPr>
        <w:t>(v)</w:t>
      </w:r>
      <w:r>
        <w:rPr>
          <w:color w:val="000000" w:themeColor="text1"/>
          <w:u w:color="000000" w:themeColor="text1"/>
        </w:rPr>
        <w:tab/>
      </w:r>
      <w:r w:rsidRPr="00012013">
        <w:rPr>
          <w:color w:val="000000" w:themeColor="text1"/>
          <w:u w:color="000000" w:themeColor="text1"/>
        </w:rPr>
        <w:t xml:space="preserve">three abstractors representing three different counties; </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r>
      <w:r w:rsidRPr="00012013">
        <w:rPr>
          <w:color w:val="000000" w:themeColor="text1"/>
          <w:u w:color="000000" w:themeColor="text1"/>
        </w:rPr>
        <w:tab/>
      </w:r>
      <w:r>
        <w:rPr>
          <w:color w:val="000000" w:themeColor="text1"/>
          <w:u w:color="000000" w:themeColor="text1"/>
        </w:rPr>
        <w:t>(vi)</w:t>
      </w:r>
      <w:r>
        <w:rPr>
          <w:color w:val="000000" w:themeColor="text1"/>
          <w:u w:color="000000" w:themeColor="text1"/>
        </w:rPr>
        <w:tab/>
      </w:r>
      <w:r w:rsidRPr="00012013">
        <w:rPr>
          <w:color w:val="000000" w:themeColor="text1"/>
          <w:u w:color="000000" w:themeColor="text1"/>
        </w:rPr>
        <w:t>one person representing a title company; and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r>
      <w:r w:rsidRPr="00012013">
        <w:rPr>
          <w:color w:val="000000" w:themeColor="text1"/>
          <w:u w:color="000000" w:themeColor="text1"/>
        </w:rPr>
        <w:tab/>
      </w:r>
      <w:r w:rsidRPr="00012013">
        <w:rPr>
          <w:color w:val="000000" w:themeColor="text1"/>
          <w:u w:color="000000" w:themeColor="text1"/>
        </w:rPr>
        <w:tab/>
      </w:r>
      <w:r>
        <w:rPr>
          <w:color w:val="000000" w:themeColor="text1"/>
          <w:u w:color="000000" w:themeColor="text1"/>
        </w:rPr>
        <w:t>(vii)</w:t>
      </w:r>
      <w:r>
        <w:rPr>
          <w:color w:val="000000" w:themeColor="text1"/>
          <w:u w:color="000000" w:themeColor="text1"/>
        </w:rPr>
        <w:tab/>
      </w:r>
      <w:r w:rsidRPr="00012013">
        <w:rPr>
          <w:color w:val="000000" w:themeColor="text1"/>
          <w:u w:color="000000" w:themeColor="text1"/>
        </w:rPr>
        <w:t>one attorney in good standing with the South Carolina Bar.</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013">
        <w:rPr>
          <w:color w:val="000000" w:themeColor="text1"/>
          <w:u w:color="000000" w:themeColor="text1"/>
        </w:rPr>
        <w:tab/>
        <w:t>The oversight committee members are entitled to mileage, subsistence, and per diem as authorized by law for members of boards, committees, and commissions while in the performance of the duties for which appointed.”</w:t>
      </w:r>
    </w:p>
    <w:p w:rsidR="00F70241" w:rsidRPr="00012013"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21E" w:rsidRDefault="00F70241" w:rsidP="00F7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013">
        <w:rPr>
          <w:color w:val="000000" w:themeColor="text1"/>
          <w:u w:color="000000" w:themeColor="text1"/>
        </w:rPr>
        <w:t>SECTION</w:t>
      </w:r>
      <w:r w:rsidRPr="00012013">
        <w:rPr>
          <w:color w:val="000000" w:themeColor="text1"/>
          <w:u w:color="000000" w:themeColor="text1"/>
        </w:rPr>
        <w:tab/>
        <w:t>2.</w:t>
      </w:r>
      <w:r w:rsidRPr="00012013">
        <w:rPr>
          <w:color w:val="000000" w:themeColor="text1"/>
          <w:u w:color="000000" w:themeColor="text1"/>
        </w:rPr>
        <w:tab/>
        <w:t>This act takes effect July 1, 2015.</w:t>
      </w:r>
    </w:p>
    <w:p w:rsidR="003E24FC" w:rsidRDefault="00F70241" w:rsidP="00F91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82C" w:rsidRDefault="001E482C" w:rsidP="001E482C">
      <w:pPr>
        <w:suppressAutoHyphens/>
      </w:pPr>
    </w:p>
    <w:sectPr w:rsidR="001E482C" w:rsidSect="001E48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612" w:rsidRDefault="002D1612" w:rsidP="009F0C77">
      <w:r>
        <w:separator/>
      </w:r>
    </w:p>
  </w:endnote>
  <w:endnote w:type="continuationSeparator" w:id="0">
    <w:p w:rsidR="002D1612" w:rsidRDefault="002D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A17042-92C3-4AE2-8EC1-BEF5D43A8522}"/>
    <w:embedBold r:id="rId2" w:fontKey="{CD641755-45AA-4411-A68B-D4E77CAC0C78}"/>
  </w:font>
  <w:font w:name="Calibri">
    <w:panose1 w:val="020F0502020204030204"/>
    <w:charset w:val="00"/>
    <w:family w:val="swiss"/>
    <w:pitch w:val="variable"/>
    <w:sig w:usb0="E00002FF" w:usb1="4000ACFF" w:usb2="00000001" w:usb3="00000000" w:csb0="0000019F" w:csb1="00000000"/>
    <w:embedRegular r:id="rId3" w:fontKey="{EFF8804E-C7B9-4794-A905-7089B010810D}"/>
  </w:font>
  <w:font w:name="Segoe UI">
    <w:panose1 w:val="020B0502040204020203"/>
    <w:charset w:val="00"/>
    <w:family w:val="swiss"/>
    <w:pitch w:val="variable"/>
    <w:sig w:usb0="E10022FF" w:usb1="C000E47F" w:usb2="00000029" w:usb3="00000000" w:csb0="000001DF" w:csb1="00000000"/>
    <w:embedRegular r:id="rId4" w:fontKey="{04C5E82A-D177-43A1-ABAE-BDFBEABC0FC4}"/>
  </w:font>
  <w:font w:name="Cambria">
    <w:panose1 w:val="02040503050406030204"/>
    <w:charset w:val="00"/>
    <w:family w:val="roman"/>
    <w:pitch w:val="variable"/>
    <w:sig w:usb0="E00002FF" w:usb1="400004FF" w:usb2="00000000" w:usb3="00000000" w:csb0="0000019F" w:csb1="00000000"/>
    <w:embedRegular r:id="rId5" w:fontKey="{A0D7675B-1DB8-4B75-8393-1D0AB5F9B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82C" w:rsidRPr="00DF3764" w:rsidRDefault="001E482C" w:rsidP="00DF3764">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sidR="00E256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612" w:rsidRDefault="002D1612" w:rsidP="009F0C77">
      <w:r>
        <w:separator/>
      </w:r>
    </w:p>
  </w:footnote>
  <w:footnote w:type="continuationSeparator" w:id="0">
    <w:p w:rsidR="002D1612" w:rsidRDefault="002D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6SA15"/>
    <w:docVar w:name="CoverBillType" w:val="b"/>
    <w:docVar w:name="docpath" w:val="L:\Council\bills\DKA\3026SA15.DOCX"/>
    <w:docVar w:name="dvBillNumber" w:val="3322"/>
    <w:docVar w:name="dvBillNumberPrefix" w:val="H. "/>
    <w:docVar w:name="dvOriginalBody" w:val="House"/>
    <w:docVar w:name="dvSteno" w:val="DKA"/>
    <w:docVar w:name="NameofBody" w:val="h"/>
    <w:docVar w:name="vgroup2" w:val="Council"/>
  </w:docVars>
  <w:rsids>
    <w:rsidRoot w:val="00CA521E"/>
    <w:rsid w:val="0000393C"/>
    <w:rsid w:val="00011869"/>
    <w:rsid w:val="00015CD6"/>
    <w:rsid w:val="000E1785"/>
    <w:rsid w:val="000F40FA"/>
    <w:rsid w:val="0010776B"/>
    <w:rsid w:val="00133E66"/>
    <w:rsid w:val="001435A3"/>
    <w:rsid w:val="00177AE6"/>
    <w:rsid w:val="001C3614"/>
    <w:rsid w:val="001D08F2"/>
    <w:rsid w:val="001D525B"/>
    <w:rsid w:val="001D7F4F"/>
    <w:rsid w:val="001E482C"/>
    <w:rsid w:val="002321B6"/>
    <w:rsid w:val="00250967"/>
    <w:rsid w:val="002543C8"/>
    <w:rsid w:val="00284AAE"/>
    <w:rsid w:val="00285C96"/>
    <w:rsid w:val="002D1612"/>
    <w:rsid w:val="002E5912"/>
    <w:rsid w:val="00301B21"/>
    <w:rsid w:val="00325348"/>
    <w:rsid w:val="0032732C"/>
    <w:rsid w:val="00336AD0"/>
    <w:rsid w:val="0037079A"/>
    <w:rsid w:val="003D01E8"/>
    <w:rsid w:val="003E24FC"/>
    <w:rsid w:val="003E5288"/>
    <w:rsid w:val="003F6D79"/>
    <w:rsid w:val="0041760A"/>
    <w:rsid w:val="00417C01"/>
    <w:rsid w:val="004809EE"/>
    <w:rsid w:val="004E7D54"/>
    <w:rsid w:val="004F570A"/>
    <w:rsid w:val="005273C6"/>
    <w:rsid w:val="00530A69"/>
    <w:rsid w:val="00545593"/>
    <w:rsid w:val="00577C6C"/>
    <w:rsid w:val="005C2FE2"/>
    <w:rsid w:val="005E2BC9"/>
    <w:rsid w:val="00605102"/>
    <w:rsid w:val="006215AA"/>
    <w:rsid w:val="006913C9"/>
    <w:rsid w:val="0069470D"/>
    <w:rsid w:val="00734F00"/>
    <w:rsid w:val="007A70AE"/>
    <w:rsid w:val="007D56C8"/>
    <w:rsid w:val="008362E8"/>
    <w:rsid w:val="008A1768"/>
    <w:rsid w:val="008F0F33"/>
    <w:rsid w:val="008F4429"/>
    <w:rsid w:val="0094021A"/>
    <w:rsid w:val="00973DD6"/>
    <w:rsid w:val="009B44AF"/>
    <w:rsid w:val="009C6A0B"/>
    <w:rsid w:val="009F0C77"/>
    <w:rsid w:val="009F4DD1"/>
    <w:rsid w:val="00A41684"/>
    <w:rsid w:val="00A64E80"/>
    <w:rsid w:val="00A72BCD"/>
    <w:rsid w:val="00A741D9"/>
    <w:rsid w:val="00A833AB"/>
    <w:rsid w:val="00A9741D"/>
    <w:rsid w:val="00AD4B17"/>
    <w:rsid w:val="00AF637C"/>
    <w:rsid w:val="00B33EAB"/>
    <w:rsid w:val="00B412D4"/>
    <w:rsid w:val="00B56378"/>
    <w:rsid w:val="00BE3C22"/>
    <w:rsid w:val="00C0345E"/>
    <w:rsid w:val="00C1698E"/>
    <w:rsid w:val="00C32185"/>
    <w:rsid w:val="00C3483A"/>
    <w:rsid w:val="00C74E9D"/>
    <w:rsid w:val="00C82FD3"/>
    <w:rsid w:val="00C92819"/>
    <w:rsid w:val="00CA521E"/>
    <w:rsid w:val="00CC6B7B"/>
    <w:rsid w:val="00CD2089"/>
    <w:rsid w:val="00CD44D1"/>
    <w:rsid w:val="00D67A7F"/>
    <w:rsid w:val="00D73A67"/>
    <w:rsid w:val="00D970A9"/>
    <w:rsid w:val="00DF3764"/>
    <w:rsid w:val="00DF3845"/>
    <w:rsid w:val="00E07B23"/>
    <w:rsid w:val="00E2564E"/>
    <w:rsid w:val="00E41911"/>
    <w:rsid w:val="00E92EEF"/>
    <w:rsid w:val="00EB3D6F"/>
    <w:rsid w:val="00F03574"/>
    <w:rsid w:val="00F239FC"/>
    <w:rsid w:val="00F24442"/>
    <w:rsid w:val="00F50AE3"/>
    <w:rsid w:val="00F67CF1"/>
    <w:rsid w:val="00F70241"/>
    <w:rsid w:val="00F840F0"/>
    <w:rsid w:val="00F85FBE"/>
    <w:rsid w:val="00F9170C"/>
    <w:rsid w:val="00F9294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E2261-16EF-4616-B3A6-D344F2502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E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EAB"/>
    <w:rPr>
      <w:rFonts w:ascii="Segoe UI" w:eastAsia="Times New Roman" w:hAnsi="Segoe UI" w:cs="Segoe UI"/>
      <w:sz w:val="18"/>
      <w:szCs w:val="18"/>
    </w:rPr>
  </w:style>
  <w:style w:type="character" w:styleId="Hyperlink">
    <w:name w:val="Hyperlink"/>
    <w:basedOn w:val="DefaultParagraphFont"/>
    <w:uiPriority w:val="99"/>
    <w:unhideWhenUsed/>
    <w:rsid w:val="001E4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22_2015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B4CCC-8824-4DB7-8CBE-36196159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490</Words>
  <Characters>2794</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3322: Electronic Tax Lien Oversight Committee - South Carolina Legislature Online</dc:title>
  <dc:creator>sharonpair</dc:creator>
  <cp:lastModifiedBy>N Cumfer</cp:lastModifiedBy>
  <cp:revision>2</cp:revision>
  <cp:lastPrinted>2015-01-14T20:44:00Z</cp:lastPrinted>
  <dcterms:created xsi:type="dcterms:W3CDTF">2016-12-02T17:55:00Z</dcterms:created>
  <dcterms:modified xsi:type="dcterms:W3CDTF">2016-12-02T17:55:00Z</dcterms:modified>
</cp:coreProperties>
</file>