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51168">
        <w:rPr>
          <w:rFonts w:eastAsia="Times New Roman" w:cs="Times New Roman"/>
          <w:b/>
          <w:szCs w:val="20"/>
        </w:rPr>
        <w:t>South Carolina General Assembly</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51168">
        <w:rPr>
          <w:rFonts w:eastAsia="Times New Roman" w:cs="Times New Roman"/>
          <w:szCs w:val="20"/>
        </w:rPr>
        <w:t>121st Session, 2015-2016</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168" w:rsidRPr="00C51168" w:rsidRDefault="007E321A"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A143, R147, H3534</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168">
        <w:rPr>
          <w:rFonts w:eastAsia="Times New Roman" w:cs="Times New Roman"/>
          <w:b/>
          <w:szCs w:val="20"/>
        </w:rPr>
        <w:t>STATUS INFORMATION</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168">
        <w:rPr>
          <w:rFonts w:eastAsia="Times New Roman" w:cs="Times New Roman"/>
          <w:szCs w:val="20"/>
        </w:rPr>
        <w:t>General Bill</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168">
        <w:rPr>
          <w:rFonts w:eastAsia="Times New Roman" w:cs="Times New Roman"/>
          <w:szCs w:val="20"/>
        </w:rPr>
        <w:t>Sponsors: Rep. Cobb</w:t>
      </w:r>
      <w:r w:rsidRPr="00C51168">
        <w:rPr>
          <w:rFonts w:eastAsia="Times New Roman" w:cs="Times New Roman"/>
          <w:szCs w:val="20"/>
        </w:rPr>
        <w:noBreakHyphen/>
        <w:t>Hunter</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168">
        <w:rPr>
          <w:rFonts w:eastAsia="Times New Roman" w:cs="Times New Roman"/>
          <w:szCs w:val="20"/>
        </w:rPr>
        <w:t>Document Path: l:\council\bills\agm\18520ab15.docx</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31218" w:rsidRDefault="0023121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5, 2015</w:t>
      </w:r>
    </w:p>
    <w:p w:rsidR="00231218" w:rsidRDefault="0023121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2015</w:t>
      </w:r>
    </w:p>
    <w:p w:rsidR="00231218" w:rsidRDefault="0023121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 2016</w:t>
      </w:r>
    </w:p>
    <w:p w:rsidR="00231218" w:rsidRDefault="0023121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9, 2016</w:t>
      </w:r>
    </w:p>
    <w:p w:rsidR="00231218" w:rsidRDefault="0023121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14, 2016, Signed</w:t>
      </w:r>
    </w:p>
    <w:p w:rsidR="00231218" w:rsidRDefault="0023121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168">
        <w:rPr>
          <w:rFonts w:eastAsia="Times New Roman" w:cs="Times New Roman"/>
          <w:szCs w:val="20"/>
        </w:rPr>
        <w:t>Summary: Higher Education Excellence Enhancement Program</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168" w:rsidRPr="00C51168" w:rsidRDefault="00C51168" w:rsidP="00C51168">
      <w:pPr>
        <w:widowControl w:val="0"/>
        <w:tabs>
          <w:tab w:val="center" w:pos="590"/>
          <w:tab w:val="center" w:pos="1440"/>
          <w:tab w:val="left" w:pos="1872"/>
          <w:tab w:val="left" w:pos="9187"/>
        </w:tabs>
        <w:rPr>
          <w:rFonts w:eastAsia="Times New Roman" w:cs="Times New Roman"/>
          <w:szCs w:val="20"/>
        </w:rPr>
      </w:pPr>
      <w:r w:rsidRPr="00C51168">
        <w:rPr>
          <w:rFonts w:eastAsia="Times New Roman" w:cs="Times New Roman"/>
          <w:b/>
          <w:szCs w:val="20"/>
        </w:rPr>
        <w:t>HISTORY OF LEGISLATIVE ACTIONS</w:t>
      </w:r>
    </w:p>
    <w:p w:rsidR="00C51168" w:rsidRPr="00C51168" w:rsidRDefault="00C51168" w:rsidP="00C51168">
      <w:pPr>
        <w:widowControl w:val="0"/>
        <w:tabs>
          <w:tab w:val="center" w:pos="590"/>
          <w:tab w:val="center" w:pos="1440"/>
          <w:tab w:val="left" w:pos="1872"/>
          <w:tab w:val="left" w:pos="9187"/>
        </w:tabs>
        <w:rPr>
          <w:rFonts w:eastAsia="Times New Roman" w:cs="Times New Roman"/>
          <w:szCs w:val="20"/>
        </w:rPr>
      </w:pPr>
    </w:p>
    <w:p w:rsidR="00C51168" w:rsidRPr="00C51168" w:rsidRDefault="00C51168" w:rsidP="00C51168">
      <w:pPr>
        <w:widowControl w:val="0"/>
        <w:tabs>
          <w:tab w:val="center" w:pos="590"/>
          <w:tab w:val="center" w:pos="1440"/>
          <w:tab w:val="left" w:pos="1872"/>
          <w:tab w:val="left" w:pos="9187"/>
        </w:tabs>
        <w:rPr>
          <w:rFonts w:eastAsia="Times New Roman" w:cs="Times New Roman"/>
          <w:szCs w:val="20"/>
        </w:rPr>
      </w:pPr>
      <w:r w:rsidRPr="00C51168">
        <w:rPr>
          <w:rFonts w:eastAsia="Times New Roman" w:cs="Times New Roman"/>
          <w:szCs w:val="20"/>
          <w:u w:val="single"/>
        </w:rPr>
        <w:tab/>
        <w:t>Date</w:t>
      </w:r>
      <w:r w:rsidRPr="00C51168">
        <w:rPr>
          <w:rFonts w:eastAsia="Times New Roman" w:cs="Times New Roman"/>
          <w:szCs w:val="20"/>
          <w:u w:val="single"/>
        </w:rPr>
        <w:tab/>
        <w:t>Body</w:t>
      </w:r>
      <w:r w:rsidRPr="00C51168">
        <w:rPr>
          <w:rFonts w:eastAsia="Times New Roman" w:cs="Times New Roman"/>
          <w:szCs w:val="20"/>
          <w:u w:val="single"/>
        </w:rPr>
        <w:tab/>
        <w:t>Action Description with journal page number</w:t>
      </w:r>
      <w:r w:rsidRPr="00C51168">
        <w:rPr>
          <w:rFonts w:eastAsia="Times New Roman" w:cs="Times New Roman"/>
          <w:szCs w:val="20"/>
          <w:u w:val="single"/>
        </w:rPr>
        <w:tab/>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FF659F">
        <w:rPr>
          <w:rFonts w:cs="Times New Roman"/>
        </w:rPr>
        <w:t>Introduced and read first time (</w:t>
      </w:r>
      <w:hyperlink r:id="rId7" w:history="1">
        <w:r w:rsidRPr="00B730BC">
          <w:rPr>
            <w:rStyle w:val="Hyperlink"/>
            <w:rFonts w:cs="Times New Roman"/>
          </w:rPr>
          <w:t>House Journal</w:t>
        </w:r>
        <w:r w:rsidRPr="00B730BC">
          <w:rPr>
            <w:rStyle w:val="Hyperlink"/>
            <w:rFonts w:cs="Times New Roman"/>
          </w:rPr>
          <w:noBreakHyphen/>
          <w:t>page 6</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2/5/2015</w:t>
      </w:r>
      <w:r>
        <w:rPr>
          <w:rFonts w:cs="Times New Roman"/>
        </w:rPr>
        <w:tab/>
        <w:t>House</w:t>
      </w:r>
      <w:r>
        <w:rPr>
          <w:rFonts w:cs="Times New Roman"/>
        </w:rPr>
        <w:tab/>
      </w:r>
      <w:r w:rsidRPr="00FF659F">
        <w:rPr>
          <w:rFonts w:cs="Times New Roman"/>
        </w:rPr>
        <w:t xml:space="preserve">Referred to Committee on </w:t>
      </w:r>
      <w:r w:rsidRPr="00FF659F">
        <w:rPr>
          <w:rFonts w:cs="Times New Roman"/>
          <w:b/>
        </w:rPr>
        <w:t>Education and Public Works</w:t>
      </w:r>
      <w:r w:rsidRPr="00FF659F">
        <w:rPr>
          <w:rFonts w:cs="Times New Roman"/>
        </w:rPr>
        <w:t xml:space="preserve"> (</w:t>
      </w:r>
      <w:hyperlink r:id="rId8" w:history="1">
        <w:r w:rsidRPr="00B730BC">
          <w:rPr>
            <w:rStyle w:val="Hyperlink"/>
            <w:rFonts w:cs="Times New Roman"/>
          </w:rPr>
          <w:t>House Journal</w:t>
        </w:r>
        <w:r w:rsidRPr="00B730BC">
          <w:rPr>
            <w:rStyle w:val="Hyperlink"/>
            <w:rFonts w:cs="Times New Roman"/>
          </w:rPr>
          <w:noBreakHyphen/>
          <w:t>page 6</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4/22/2015</w:t>
      </w:r>
      <w:r>
        <w:rPr>
          <w:rFonts w:cs="Times New Roman"/>
        </w:rPr>
        <w:tab/>
        <w:t>House</w:t>
      </w:r>
      <w:r>
        <w:rPr>
          <w:rFonts w:cs="Times New Roman"/>
        </w:rPr>
        <w:tab/>
      </w:r>
      <w:r w:rsidRPr="00FF659F">
        <w:rPr>
          <w:rFonts w:cs="Times New Roman"/>
        </w:rPr>
        <w:t>Committee r</w:t>
      </w:r>
      <w:r>
        <w:rPr>
          <w:rFonts w:cs="Times New Roman"/>
        </w:rPr>
        <w:t xml:space="preserve">eport: Favorable with amendment </w:t>
      </w:r>
      <w:r w:rsidRPr="00FF659F">
        <w:rPr>
          <w:rFonts w:cs="Times New Roman"/>
          <w:b/>
        </w:rPr>
        <w:t>Education and Public Works</w:t>
      </w:r>
      <w:r w:rsidRPr="00FF659F">
        <w:rPr>
          <w:rFonts w:cs="Times New Roman"/>
        </w:rPr>
        <w:t xml:space="preserve"> (</w:t>
      </w:r>
      <w:hyperlink r:id="rId9" w:history="1">
        <w:r w:rsidRPr="00B730BC">
          <w:rPr>
            <w:rStyle w:val="Hyperlink"/>
            <w:rFonts w:cs="Times New Roman"/>
          </w:rPr>
          <w:t>House Journal</w:t>
        </w:r>
        <w:r w:rsidRPr="00B730BC">
          <w:rPr>
            <w:rStyle w:val="Hyperlink"/>
            <w:rFonts w:cs="Times New Roman"/>
          </w:rPr>
          <w:noBreakHyphen/>
          <w:t>page 3</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FF659F">
        <w:rPr>
          <w:rFonts w:cs="Times New Roman"/>
        </w:rPr>
        <w:t>Amended (</w:t>
      </w:r>
      <w:hyperlink r:id="rId10" w:history="1">
        <w:r w:rsidRPr="00B730BC">
          <w:rPr>
            <w:rStyle w:val="Hyperlink"/>
            <w:rFonts w:cs="Times New Roman"/>
          </w:rPr>
          <w:t>House Journal</w:t>
        </w:r>
        <w:r w:rsidRPr="00B730BC">
          <w:rPr>
            <w:rStyle w:val="Hyperlink"/>
            <w:rFonts w:cs="Times New Roman"/>
          </w:rPr>
          <w:noBreakHyphen/>
          <w:t>page 25</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FF659F">
        <w:rPr>
          <w:rFonts w:cs="Times New Roman"/>
        </w:rPr>
        <w:t>Read second time (</w:t>
      </w:r>
      <w:hyperlink r:id="rId11" w:history="1">
        <w:r w:rsidRPr="00B730BC">
          <w:rPr>
            <w:rStyle w:val="Hyperlink"/>
            <w:rFonts w:cs="Times New Roman"/>
          </w:rPr>
          <w:t>House Journal</w:t>
        </w:r>
        <w:r w:rsidRPr="00B730BC">
          <w:rPr>
            <w:rStyle w:val="Hyperlink"/>
            <w:rFonts w:cs="Times New Roman"/>
          </w:rPr>
          <w:noBreakHyphen/>
          <w:t>page 25</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FF659F">
        <w:rPr>
          <w:rFonts w:cs="Times New Roman"/>
        </w:rPr>
        <w:t>Roll call Yeas</w:t>
      </w:r>
      <w:r>
        <w:rPr>
          <w:rFonts w:cs="Times New Roman"/>
        </w:rPr>
        <w:noBreakHyphen/>
      </w:r>
      <w:r w:rsidRPr="00FF659F">
        <w:rPr>
          <w:rFonts w:cs="Times New Roman"/>
        </w:rPr>
        <w:t>95  Nays</w:t>
      </w:r>
      <w:r>
        <w:rPr>
          <w:rFonts w:cs="Times New Roman"/>
        </w:rPr>
        <w:noBreakHyphen/>
      </w:r>
      <w:r w:rsidRPr="00FF659F">
        <w:rPr>
          <w:rFonts w:cs="Times New Roman"/>
        </w:rPr>
        <w:t>0 (</w:t>
      </w:r>
      <w:hyperlink r:id="rId12" w:history="1">
        <w:r w:rsidRPr="00B730BC">
          <w:rPr>
            <w:rStyle w:val="Hyperlink"/>
            <w:rFonts w:cs="Times New Roman"/>
          </w:rPr>
          <w:t>House Journal</w:t>
        </w:r>
        <w:r w:rsidRPr="00B730BC">
          <w:rPr>
            <w:rStyle w:val="Hyperlink"/>
            <w:rFonts w:cs="Times New Roman"/>
          </w:rPr>
          <w:noBreakHyphen/>
          <w:t>page 28</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FF659F">
        <w:rPr>
          <w:rFonts w:cs="Times New Roman"/>
        </w:rPr>
        <w:t>Unanimous co</w:t>
      </w:r>
      <w:r>
        <w:rPr>
          <w:rFonts w:cs="Times New Roman"/>
        </w:rPr>
        <w:t xml:space="preserve">nsent for third reading on next </w:t>
      </w:r>
      <w:r w:rsidRPr="00FF659F">
        <w:rPr>
          <w:rFonts w:cs="Times New Roman"/>
        </w:rPr>
        <w:t>legislative day (</w:t>
      </w:r>
      <w:hyperlink r:id="rId13" w:history="1">
        <w:r w:rsidRPr="00B730BC">
          <w:rPr>
            <w:rStyle w:val="Hyperlink"/>
            <w:rFonts w:cs="Times New Roman"/>
          </w:rPr>
          <w:t>House Journal</w:t>
        </w:r>
        <w:r w:rsidRPr="00B730BC">
          <w:rPr>
            <w:rStyle w:val="Hyperlink"/>
            <w:rFonts w:cs="Times New Roman"/>
          </w:rPr>
          <w:noBreakHyphen/>
          <w:t>page 29</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4/24/2015</w:t>
      </w:r>
      <w:r>
        <w:rPr>
          <w:rFonts w:cs="Times New Roman"/>
        </w:rPr>
        <w:tab/>
      </w:r>
      <w:r>
        <w:rPr>
          <w:rFonts w:cs="Times New Roman"/>
        </w:rPr>
        <w:tab/>
      </w:r>
      <w:r w:rsidRPr="00FF659F">
        <w:rPr>
          <w:rFonts w:cs="Times New Roman"/>
        </w:rPr>
        <w:t>Scrivener's error corrected</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4/25/2015</w:t>
      </w:r>
      <w:r>
        <w:rPr>
          <w:rFonts w:cs="Times New Roman"/>
        </w:rPr>
        <w:tab/>
        <w:t>House</w:t>
      </w:r>
      <w:r>
        <w:rPr>
          <w:rFonts w:cs="Times New Roman"/>
        </w:rPr>
        <w:tab/>
      </w:r>
      <w:r w:rsidRPr="00FF659F">
        <w:rPr>
          <w:rFonts w:cs="Times New Roman"/>
        </w:rPr>
        <w:t>Rea</w:t>
      </w:r>
      <w:r>
        <w:rPr>
          <w:rFonts w:cs="Times New Roman"/>
        </w:rPr>
        <w:t xml:space="preserve">d third time and sent to Senate </w:t>
      </w:r>
      <w:r w:rsidRPr="00FF659F">
        <w:rPr>
          <w:rFonts w:cs="Times New Roman"/>
        </w:rPr>
        <w:t>(</w:t>
      </w:r>
      <w:hyperlink r:id="rId14" w:history="1">
        <w:r w:rsidRPr="00B730BC">
          <w:rPr>
            <w:rStyle w:val="Hyperlink"/>
            <w:rFonts w:cs="Times New Roman"/>
          </w:rPr>
          <w:t>House Journal</w:t>
        </w:r>
        <w:r w:rsidRPr="00B730BC">
          <w:rPr>
            <w:rStyle w:val="Hyperlink"/>
            <w:rFonts w:cs="Times New Roman"/>
          </w:rPr>
          <w:noBreakHyphen/>
          <w:t>page 2</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FF659F">
        <w:rPr>
          <w:rFonts w:cs="Times New Roman"/>
        </w:rPr>
        <w:t>Introduced and read first time (</w:t>
      </w:r>
      <w:hyperlink r:id="rId15" w:history="1">
        <w:r w:rsidRPr="00B730BC">
          <w:rPr>
            <w:rStyle w:val="Hyperlink"/>
            <w:rFonts w:cs="Times New Roman"/>
          </w:rPr>
          <w:t>Senate Journal</w:t>
        </w:r>
        <w:r w:rsidRPr="00B730BC">
          <w:rPr>
            <w:rStyle w:val="Hyperlink"/>
            <w:rFonts w:cs="Times New Roman"/>
          </w:rPr>
          <w:noBreakHyphen/>
          <w:t>page 9</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Senate</w:t>
      </w:r>
      <w:r>
        <w:rPr>
          <w:rFonts w:cs="Times New Roman"/>
        </w:rPr>
        <w:tab/>
      </w:r>
      <w:r w:rsidRPr="00FF659F">
        <w:rPr>
          <w:rFonts w:cs="Times New Roman"/>
        </w:rPr>
        <w:t>Ref</w:t>
      </w:r>
      <w:r>
        <w:rPr>
          <w:rFonts w:cs="Times New Roman"/>
        </w:rPr>
        <w:t xml:space="preserve">erred to Committee on </w:t>
      </w:r>
      <w:r w:rsidRPr="00FF659F">
        <w:rPr>
          <w:rFonts w:cs="Times New Roman"/>
          <w:b/>
        </w:rPr>
        <w:t>Education</w:t>
      </w:r>
      <w:r>
        <w:rPr>
          <w:rFonts w:cs="Times New Roman"/>
        </w:rPr>
        <w:t xml:space="preserve"> </w:t>
      </w:r>
      <w:r w:rsidRPr="00FF659F">
        <w:rPr>
          <w:rFonts w:cs="Times New Roman"/>
        </w:rPr>
        <w:t>(</w:t>
      </w:r>
      <w:hyperlink r:id="rId16" w:history="1">
        <w:r w:rsidRPr="00B730BC">
          <w:rPr>
            <w:rStyle w:val="Hyperlink"/>
            <w:rFonts w:cs="Times New Roman"/>
          </w:rPr>
          <w:t>Senate Journal</w:t>
        </w:r>
        <w:r w:rsidRPr="00B730BC">
          <w:rPr>
            <w:rStyle w:val="Hyperlink"/>
            <w:rFonts w:cs="Times New Roman"/>
          </w:rPr>
          <w:noBreakHyphen/>
          <w:t>page 9</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FF659F">
        <w:rPr>
          <w:rFonts w:cs="Times New Roman"/>
        </w:rPr>
        <w:t>Committee r</w:t>
      </w:r>
      <w:r>
        <w:rPr>
          <w:rFonts w:cs="Times New Roman"/>
        </w:rPr>
        <w:t xml:space="preserve">eport: Favorable with amendment </w:t>
      </w:r>
      <w:r w:rsidRPr="00FF659F">
        <w:rPr>
          <w:rFonts w:cs="Times New Roman"/>
          <w:b/>
        </w:rPr>
        <w:t>Education</w:t>
      </w:r>
      <w:r w:rsidRPr="00FF659F">
        <w:rPr>
          <w:rFonts w:cs="Times New Roman"/>
        </w:rPr>
        <w:t xml:space="preserve"> (</w:t>
      </w:r>
      <w:hyperlink r:id="rId17" w:history="1">
        <w:r w:rsidRPr="00B730BC">
          <w:rPr>
            <w:rStyle w:val="Hyperlink"/>
            <w:rFonts w:cs="Times New Roman"/>
          </w:rPr>
          <w:t>Senate Journal</w:t>
        </w:r>
        <w:r w:rsidRPr="00B730BC">
          <w:rPr>
            <w:rStyle w:val="Hyperlink"/>
            <w:rFonts w:cs="Times New Roman"/>
          </w:rPr>
          <w:noBreakHyphen/>
          <w:t>page 13</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2/29/2016</w:t>
      </w:r>
      <w:r>
        <w:rPr>
          <w:rFonts w:cs="Times New Roman"/>
        </w:rPr>
        <w:tab/>
      </w:r>
      <w:r>
        <w:rPr>
          <w:rFonts w:cs="Times New Roman"/>
        </w:rPr>
        <w:tab/>
      </w:r>
      <w:r w:rsidRPr="00FF659F">
        <w:rPr>
          <w:rFonts w:cs="Times New Roman"/>
        </w:rPr>
        <w:t>Scrivener's error corrected</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FF659F">
        <w:rPr>
          <w:rFonts w:cs="Times New Roman"/>
        </w:rPr>
        <w:t>Committee Amendment Adopted (</w:t>
      </w:r>
      <w:hyperlink r:id="rId18" w:history="1">
        <w:r w:rsidRPr="00B730BC">
          <w:rPr>
            <w:rStyle w:val="Hyperlink"/>
            <w:rFonts w:cs="Times New Roman"/>
          </w:rPr>
          <w:t>Senate Journal</w:t>
        </w:r>
        <w:r w:rsidRPr="00B730BC">
          <w:rPr>
            <w:rStyle w:val="Hyperlink"/>
            <w:rFonts w:cs="Times New Roman"/>
          </w:rPr>
          <w:noBreakHyphen/>
          <w:t>page 11</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FF659F">
        <w:rPr>
          <w:rFonts w:cs="Times New Roman"/>
        </w:rPr>
        <w:t>Read second time (</w:t>
      </w:r>
      <w:hyperlink r:id="rId19" w:history="1">
        <w:r w:rsidRPr="00B730BC">
          <w:rPr>
            <w:rStyle w:val="Hyperlink"/>
            <w:rFonts w:cs="Times New Roman"/>
          </w:rPr>
          <w:t>Senate Journal</w:t>
        </w:r>
        <w:r w:rsidRPr="00B730BC">
          <w:rPr>
            <w:rStyle w:val="Hyperlink"/>
            <w:rFonts w:cs="Times New Roman"/>
          </w:rPr>
          <w:noBreakHyphen/>
          <w:t>page 11</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Senate</w:t>
      </w:r>
      <w:r>
        <w:rPr>
          <w:rFonts w:cs="Times New Roman"/>
        </w:rPr>
        <w:tab/>
      </w:r>
      <w:r w:rsidRPr="00FF659F">
        <w:rPr>
          <w:rFonts w:cs="Times New Roman"/>
        </w:rPr>
        <w:t>Roll call Ayes</w:t>
      </w:r>
      <w:r>
        <w:rPr>
          <w:rFonts w:cs="Times New Roman"/>
        </w:rPr>
        <w:noBreakHyphen/>
      </w:r>
      <w:r w:rsidRPr="00FF659F">
        <w:rPr>
          <w:rFonts w:cs="Times New Roman"/>
        </w:rPr>
        <w:t>35  Nays</w:t>
      </w:r>
      <w:r>
        <w:rPr>
          <w:rFonts w:cs="Times New Roman"/>
        </w:rPr>
        <w:noBreakHyphen/>
      </w:r>
      <w:r w:rsidRPr="00FF659F">
        <w:rPr>
          <w:rFonts w:cs="Times New Roman"/>
        </w:rPr>
        <w:t>0 (</w:t>
      </w:r>
      <w:hyperlink r:id="rId20" w:history="1">
        <w:r w:rsidRPr="00B730BC">
          <w:rPr>
            <w:rStyle w:val="Hyperlink"/>
            <w:rFonts w:cs="Times New Roman"/>
          </w:rPr>
          <w:t>Senate Journal</w:t>
        </w:r>
        <w:r w:rsidRPr="00B730BC">
          <w:rPr>
            <w:rStyle w:val="Hyperlink"/>
            <w:rFonts w:cs="Times New Roman"/>
          </w:rPr>
          <w:noBreakHyphen/>
          <w:t>page 11</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r>
      <w:r>
        <w:rPr>
          <w:rFonts w:cs="Times New Roman"/>
        </w:rPr>
        <w:tab/>
      </w:r>
      <w:r w:rsidRPr="00FF659F">
        <w:rPr>
          <w:rFonts w:cs="Times New Roman"/>
        </w:rPr>
        <w:t>Scrivener's error corrected</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FF659F">
        <w:rPr>
          <w:rFonts w:cs="Times New Roman"/>
        </w:rPr>
        <w:t xml:space="preserve">Read third </w:t>
      </w:r>
      <w:r>
        <w:rPr>
          <w:rFonts w:cs="Times New Roman"/>
        </w:rPr>
        <w:t xml:space="preserve">time and returned to House with </w:t>
      </w:r>
      <w:r w:rsidRPr="00FF659F">
        <w:rPr>
          <w:rFonts w:cs="Times New Roman"/>
        </w:rPr>
        <w:t>amendments (</w:t>
      </w:r>
      <w:hyperlink r:id="rId21" w:history="1">
        <w:r w:rsidRPr="00B730BC">
          <w:rPr>
            <w:rStyle w:val="Hyperlink"/>
            <w:rFonts w:cs="Times New Roman"/>
          </w:rPr>
          <w:t>Senate Journal</w:t>
        </w:r>
        <w:r w:rsidRPr="00B730BC">
          <w:rPr>
            <w:rStyle w:val="Hyperlink"/>
            <w:rFonts w:cs="Times New Roman"/>
          </w:rPr>
          <w:noBreakHyphen/>
          <w:t>page 12</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FF659F">
        <w:rPr>
          <w:rFonts w:cs="Times New Roman"/>
        </w:rPr>
        <w:t>Concurred i</w:t>
      </w:r>
      <w:r>
        <w:rPr>
          <w:rFonts w:cs="Times New Roman"/>
        </w:rPr>
        <w:t xml:space="preserve">n Senate amendment and enrolled </w:t>
      </w:r>
      <w:r w:rsidRPr="00FF659F">
        <w:rPr>
          <w:rFonts w:cs="Times New Roman"/>
        </w:rPr>
        <w:t>(</w:t>
      </w:r>
      <w:hyperlink r:id="rId22" w:history="1">
        <w:r w:rsidRPr="00B730BC">
          <w:rPr>
            <w:rStyle w:val="Hyperlink"/>
            <w:rFonts w:cs="Times New Roman"/>
          </w:rPr>
          <w:t>House Journal</w:t>
        </w:r>
        <w:r w:rsidRPr="00B730BC">
          <w:rPr>
            <w:rStyle w:val="Hyperlink"/>
            <w:rFonts w:cs="Times New Roman"/>
          </w:rPr>
          <w:noBreakHyphen/>
          <w:t>page 22</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FF659F">
        <w:rPr>
          <w:rFonts w:cs="Times New Roman"/>
        </w:rPr>
        <w:t>Roll call Yeas</w:t>
      </w:r>
      <w:r>
        <w:rPr>
          <w:rFonts w:cs="Times New Roman"/>
        </w:rPr>
        <w:noBreakHyphen/>
      </w:r>
      <w:r w:rsidRPr="00FF659F">
        <w:rPr>
          <w:rFonts w:cs="Times New Roman"/>
        </w:rPr>
        <w:t>105  Nays</w:t>
      </w:r>
      <w:r>
        <w:rPr>
          <w:rFonts w:cs="Times New Roman"/>
        </w:rPr>
        <w:noBreakHyphen/>
      </w:r>
      <w:r w:rsidRPr="00FF659F">
        <w:rPr>
          <w:rFonts w:cs="Times New Roman"/>
        </w:rPr>
        <w:t>0 (</w:t>
      </w:r>
      <w:hyperlink r:id="rId23" w:history="1">
        <w:r w:rsidRPr="00B730BC">
          <w:rPr>
            <w:rStyle w:val="Hyperlink"/>
            <w:rFonts w:cs="Times New Roman"/>
          </w:rPr>
          <w:t>House Journal</w:t>
        </w:r>
        <w:r w:rsidRPr="00B730BC">
          <w:rPr>
            <w:rStyle w:val="Hyperlink"/>
            <w:rFonts w:cs="Times New Roman"/>
          </w:rPr>
          <w:noBreakHyphen/>
          <w:t>page 22</w:t>
        </w:r>
      </w:hyperlink>
      <w:r w:rsidRPr="00FF659F">
        <w:rPr>
          <w:rFonts w:cs="Times New Roman"/>
        </w:rPr>
        <w:t>)</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FF659F">
        <w:rPr>
          <w:rFonts w:cs="Times New Roman"/>
        </w:rPr>
        <w:t>Ratified R 147</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3/14/2016</w:t>
      </w:r>
      <w:r>
        <w:rPr>
          <w:rFonts w:cs="Times New Roman"/>
        </w:rPr>
        <w:tab/>
      </w:r>
      <w:r>
        <w:rPr>
          <w:rFonts w:cs="Times New Roman"/>
        </w:rPr>
        <w:tab/>
      </w:r>
      <w:r w:rsidRPr="00FF659F">
        <w:rPr>
          <w:rFonts w:cs="Times New Roman"/>
        </w:rPr>
        <w:t>Signed By Governor</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r>
      <w:r>
        <w:rPr>
          <w:rFonts w:cs="Times New Roman"/>
        </w:rPr>
        <w:tab/>
      </w:r>
      <w:r w:rsidRPr="00FF659F">
        <w:rPr>
          <w:rFonts w:cs="Times New Roman"/>
        </w:rPr>
        <w:t>Effective date 07/01/16</w:t>
      </w:r>
    </w:p>
    <w:p w:rsidR="007E321A" w:rsidRDefault="007E321A" w:rsidP="007E321A">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FF659F">
        <w:rPr>
          <w:rFonts w:cs="Times New Roman"/>
        </w:rPr>
        <w:t>Act No</w:t>
      </w:r>
      <w:r>
        <w:rPr>
          <w:rFonts w:cs="Times New Roman"/>
        </w:rPr>
        <w:t>. </w:t>
      </w:r>
      <w:r w:rsidRPr="00FF659F">
        <w:rPr>
          <w:rFonts w:cs="Times New Roman"/>
        </w:rPr>
        <w:t>143</w:t>
      </w:r>
    </w:p>
    <w:p w:rsidR="007E321A" w:rsidRDefault="007E321A" w:rsidP="007E321A">
      <w:pPr>
        <w:widowControl w:val="0"/>
        <w:tabs>
          <w:tab w:val="right" w:pos="1008"/>
          <w:tab w:val="left" w:pos="1152"/>
          <w:tab w:val="left" w:pos="1872"/>
          <w:tab w:val="left" w:pos="9187"/>
        </w:tabs>
        <w:ind w:left="2088" w:hanging="2088"/>
        <w:rPr>
          <w:rFonts w:cs="Times New Roman"/>
        </w:rPr>
      </w:pPr>
    </w:p>
    <w:p w:rsidR="00C51168" w:rsidRPr="00C51168" w:rsidRDefault="00C51168" w:rsidP="00C51168">
      <w:pPr>
        <w:widowControl w:val="0"/>
        <w:tabs>
          <w:tab w:val="right" w:pos="1008"/>
          <w:tab w:val="left" w:pos="1152"/>
          <w:tab w:val="left" w:pos="1872"/>
          <w:tab w:val="left" w:pos="9187"/>
        </w:tabs>
        <w:ind w:left="2088" w:hanging="2088"/>
        <w:rPr>
          <w:rFonts w:eastAsia="Times New Roman" w:cs="Times New Roman"/>
          <w:szCs w:val="20"/>
        </w:rPr>
      </w:pPr>
      <w:r w:rsidRPr="00C51168">
        <w:rPr>
          <w:rFonts w:eastAsia="Times New Roman" w:cs="Times New Roman"/>
          <w:szCs w:val="20"/>
        </w:rPr>
        <w:t xml:space="preserve">View the latest </w:t>
      </w:r>
      <w:hyperlink r:id="rId24" w:history="1">
        <w:r w:rsidRPr="00C51168">
          <w:rPr>
            <w:rFonts w:eastAsia="Times New Roman" w:cs="Times New Roman"/>
            <w:color w:val="0000FF" w:themeColor="hyperlink"/>
            <w:szCs w:val="20"/>
            <w:u w:val="single"/>
          </w:rPr>
          <w:t>legislative information</w:t>
        </w:r>
      </w:hyperlink>
      <w:r w:rsidRPr="00C51168">
        <w:rPr>
          <w:rFonts w:eastAsia="Times New Roman" w:cs="Times New Roman"/>
          <w:szCs w:val="20"/>
        </w:rPr>
        <w:t xml:space="preserve"> at the website</w:t>
      </w:r>
    </w:p>
    <w:p w:rsidR="00C51168" w:rsidRPr="00C51168" w:rsidRDefault="00C51168" w:rsidP="00C51168">
      <w:pPr>
        <w:widowControl w:val="0"/>
        <w:tabs>
          <w:tab w:val="right" w:pos="1008"/>
          <w:tab w:val="left" w:pos="1152"/>
          <w:tab w:val="left" w:pos="1872"/>
          <w:tab w:val="left" w:pos="9187"/>
        </w:tabs>
        <w:ind w:left="2088" w:hanging="2088"/>
        <w:rPr>
          <w:rFonts w:eastAsia="Times New Roman" w:cs="Times New Roman"/>
          <w:szCs w:val="20"/>
        </w:rPr>
      </w:pPr>
    </w:p>
    <w:p w:rsidR="00C51168" w:rsidRPr="00C51168" w:rsidRDefault="00C51168" w:rsidP="00C51168">
      <w:pPr>
        <w:widowControl w:val="0"/>
        <w:tabs>
          <w:tab w:val="right" w:pos="1008"/>
          <w:tab w:val="left" w:pos="1152"/>
          <w:tab w:val="left" w:pos="1872"/>
          <w:tab w:val="left" w:pos="9187"/>
        </w:tabs>
        <w:ind w:left="2088" w:hanging="2088"/>
        <w:rPr>
          <w:rFonts w:eastAsia="Times New Roman" w:cs="Times New Roman"/>
          <w:szCs w:val="20"/>
        </w:rPr>
      </w:pP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51168">
        <w:rPr>
          <w:rFonts w:eastAsia="Times New Roman" w:cs="Times New Roman"/>
          <w:b/>
          <w:szCs w:val="20"/>
        </w:rPr>
        <w:t>VERSIONS OF THIS BILL</w:t>
      </w:r>
    </w:p>
    <w:p w:rsidR="00C51168" w:rsidRPr="00C51168" w:rsidRDefault="00C51168"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51168" w:rsidRPr="00C51168" w:rsidRDefault="00B730BC" w:rsidP="00C511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C51168" w:rsidRPr="00C51168">
          <w:rPr>
            <w:rFonts w:eastAsia="Times New Roman" w:cs="Times New Roman"/>
            <w:color w:val="0000FF" w:themeColor="hyperlink"/>
            <w:szCs w:val="20"/>
            <w:u w:val="single"/>
          </w:rPr>
          <w:t>2/5/2015</w:t>
        </w:r>
      </w:hyperlink>
    </w:p>
    <w:p w:rsidR="00C51168" w:rsidRPr="00C51168" w:rsidRDefault="00B730BC"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51168" w:rsidRPr="00C51168">
          <w:rPr>
            <w:rFonts w:eastAsia="Times New Roman" w:cs="Times New Roman"/>
            <w:color w:val="0000FF" w:themeColor="hyperlink"/>
            <w:szCs w:val="20"/>
            <w:u w:val="single"/>
          </w:rPr>
          <w:t>4/22/2015</w:t>
        </w:r>
      </w:hyperlink>
    </w:p>
    <w:p w:rsidR="00C51168" w:rsidRPr="00C51168" w:rsidRDefault="00B730BC"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51168" w:rsidRPr="00C51168">
          <w:rPr>
            <w:rFonts w:eastAsia="Times New Roman" w:cs="Times New Roman"/>
            <w:color w:val="0000FF" w:themeColor="hyperlink"/>
            <w:szCs w:val="20"/>
            <w:u w:val="single"/>
          </w:rPr>
          <w:t>4/23/2015</w:t>
        </w:r>
      </w:hyperlink>
    </w:p>
    <w:p w:rsidR="00C51168" w:rsidRPr="00C51168" w:rsidRDefault="00B730BC"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51168" w:rsidRPr="00C51168">
          <w:rPr>
            <w:rFonts w:eastAsia="Times New Roman" w:cs="Times New Roman"/>
            <w:color w:val="0000FF" w:themeColor="hyperlink"/>
            <w:szCs w:val="20"/>
            <w:u w:val="single"/>
          </w:rPr>
          <w:t>4/24/2015</w:t>
        </w:r>
      </w:hyperlink>
    </w:p>
    <w:p w:rsidR="00C51168" w:rsidRPr="00C51168" w:rsidRDefault="00B730BC"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C51168" w:rsidRPr="00C51168">
          <w:rPr>
            <w:rFonts w:eastAsia="Times New Roman" w:cs="Times New Roman"/>
            <w:color w:val="0000FF" w:themeColor="hyperlink"/>
            <w:szCs w:val="20"/>
            <w:u w:val="single"/>
          </w:rPr>
          <w:t>2/25/2016</w:t>
        </w:r>
      </w:hyperlink>
    </w:p>
    <w:p w:rsidR="00C51168" w:rsidRPr="00C51168" w:rsidRDefault="00B730BC"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C51168" w:rsidRPr="00C51168">
          <w:rPr>
            <w:rFonts w:eastAsia="Times New Roman" w:cs="Times New Roman"/>
            <w:color w:val="0000FF" w:themeColor="hyperlink"/>
            <w:szCs w:val="20"/>
            <w:u w:val="single"/>
          </w:rPr>
          <w:t>2/29/2016</w:t>
        </w:r>
      </w:hyperlink>
    </w:p>
    <w:p w:rsidR="00C51168" w:rsidRPr="00C51168" w:rsidRDefault="00B730BC"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C51168" w:rsidRPr="00C51168">
          <w:rPr>
            <w:rFonts w:eastAsia="Times New Roman" w:cs="Times New Roman"/>
            <w:color w:val="0000FF" w:themeColor="hyperlink"/>
            <w:szCs w:val="20"/>
            <w:u w:val="single"/>
          </w:rPr>
          <w:t>3/1/2016</w:t>
        </w:r>
      </w:hyperlink>
    </w:p>
    <w:p w:rsidR="00C51168" w:rsidRPr="00C51168" w:rsidRDefault="00B730BC"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C51168" w:rsidRPr="00C51168">
          <w:rPr>
            <w:rFonts w:eastAsia="Times New Roman" w:cs="Times New Roman"/>
            <w:color w:val="0000FF" w:themeColor="hyperlink"/>
            <w:szCs w:val="20"/>
            <w:u w:val="single"/>
          </w:rPr>
          <w:t>3/2/2016</w:t>
        </w:r>
      </w:hyperlink>
    </w:p>
    <w:p w:rsidR="00C51168" w:rsidRPr="00C51168" w:rsidRDefault="00C51168"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51168" w:rsidRDefault="00C51168" w:rsidP="00C511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51168" w:rsidSect="00C51168">
          <w:pgSz w:w="12240" w:h="15840" w:code="1"/>
          <w:pgMar w:top="1080" w:right="1440" w:bottom="1080" w:left="1440" w:header="720" w:footer="720" w:gutter="0"/>
          <w:pgNumType w:start="1"/>
          <w:cols w:space="720"/>
          <w:noEndnote/>
          <w:docGrid w:linePitch="360"/>
        </w:sectPr>
      </w:pP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(A143, R147, H3534)</w:t>
      </w:r>
    </w:p>
    <w:p w:rsidR="00AF2B49" w:rsidRPr="008836A5"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F2B49" w:rsidRPr="00C51168"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51168">
        <w:rPr>
          <w:rFonts w:cs="Times New Roman"/>
          <w:b/>
          <w:color w:val="000000" w:themeColor="text1"/>
          <w:szCs w:val="36"/>
        </w:rPr>
        <w:t xml:space="preserve">AN ACT </w:t>
      </w:r>
      <w:bookmarkStart w:id="1" w:name="titleend"/>
      <w:bookmarkEnd w:id="1"/>
      <w:r w:rsidRPr="00C51168">
        <w:rPr>
          <w:rFonts w:cs="Times New Roman"/>
          <w:b/>
        </w:rPr>
        <w:t>TO AMEND SECTION 2</w:t>
      </w:r>
      <w:r w:rsidRPr="00C51168">
        <w:rPr>
          <w:rFonts w:cs="Times New Roman"/>
          <w:b/>
        </w:rPr>
        <w:noBreakHyphen/>
        <w:t>77</w:t>
      </w:r>
      <w:r w:rsidRPr="00C51168">
        <w:rPr>
          <w:rFonts w:cs="Times New Roman"/>
          <w:b/>
        </w:rPr>
        <w:noBreakHyphen/>
        <w:t>15, AS AMENDED, CODE OF LAWS OF SOUTH CAROLINA, 1976, RELATING TO THE DEFINITION OF "ELIGIBLE INSTITUTION" AS IT PERTAINS TO THE SOUTH CAROLINA HIGHER EDUCATION EXCELLENCE ENHANCEMENT PROGRAM, SO AS TO INCLUDE INSTITUTIONS THAT OFFER AT LEAST ONE NONSECTARIAN PROGRAM AT THE BACCALAUREATE LEVEL, HISTORICALLY SINGLE GENDER WOMEN’S INSTITUTIONS OF TRADITIONAL STUDENTS, AND INSTITUTIONS ACCREDITED BY AN ORGANIZATION THAT IS RECOGNIZED BY THE UNITED STATES DEPARTMENT OF EDUCATION AND ALSO RECEIVES TITLE III FUNDING; AND TO AMEND SECTION 2</w:t>
      </w:r>
      <w:r w:rsidRPr="00C51168">
        <w:rPr>
          <w:rFonts w:cs="Times New Roman"/>
          <w:b/>
        </w:rPr>
        <w:noBreakHyphen/>
        <w:t>77</w:t>
      </w:r>
      <w:r w:rsidRPr="00C51168">
        <w:rPr>
          <w:rFonts w:cs="Times New Roman"/>
          <w:b/>
        </w:rPr>
        <w:noBreakHyphen/>
        <w:t>20, AS AMENDED, RELATING TO THE ALLOCATION OF APPROPRIATED FUNDS AMONG ELIGIBLE INSTITUTIONS, SO AS TO REQUIRE THE COMMISSION ON HIGHER EDUCATION ANNUALLY TO REVIEW AND DETERMINE WHETHER EACH ELIGIBLE INSTITUTION APPROPRIATELY USED THESE FUNDS, AND TO PROVIDE REQUIREMENTS FOR FUNDING REDUCTIONS AND ALTERNATE FUNDING DISTRIBUTIONS WHEN THE COMMISSION FINDS AN ELIGIBLE INSTITUTION INAPPROPRIATELY USED THESE FUNDS.</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49F4">
        <w:rPr>
          <w:rFonts w:cs="Times New Roman"/>
        </w:rPr>
        <w:t>Be it enacted by the General Assembly of the State of South Carolina:</w:t>
      </w: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F2B49" w:rsidRPr="00B721C7"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“Eligible institutions”, definition expanded</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rPr>
        <w:t>SECTION</w:t>
      </w:r>
      <w:r w:rsidRPr="00C549F4">
        <w:rPr>
          <w:rFonts w:cs="Times New Roman"/>
        </w:rPr>
        <w:tab/>
        <w:t>1.</w:t>
      </w:r>
      <w:r w:rsidRPr="00C549F4">
        <w:rPr>
          <w:rFonts w:cs="Times New Roman"/>
        </w:rPr>
        <w:tab/>
      </w:r>
      <w:r w:rsidRPr="00C549F4">
        <w:rPr>
          <w:rFonts w:cs="Times New Roman"/>
          <w:u w:color="000000" w:themeColor="text1"/>
        </w:rPr>
        <w:t>Section 2</w:t>
      </w:r>
      <w:r>
        <w:rPr>
          <w:rFonts w:cs="Times New Roman"/>
          <w:u w:color="000000" w:themeColor="text1"/>
        </w:rPr>
        <w:noBreakHyphen/>
      </w:r>
      <w:r w:rsidRPr="00C549F4">
        <w:rPr>
          <w:rFonts w:cs="Times New Roman"/>
          <w:u w:color="000000" w:themeColor="text1"/>
        </w:rPr>
        <w:t>77</w:t>
      </w:r>
      <w:r>
        <w:rPr>
          <w:rFonts w:cs="Times New Roman"/>
          <w:u w:color="000000" w:themeColor="text1"/>
        </w:rPr>
        <w:noBreakHyphen/>
      </w:r>
      <w:r w:rsidRPr="00C549F4">
        <w:rPr>
          <w:rFonts w:cs="Times New Roman"/>
          <w:u w:color="000000" w:themeColor="text1"/>
        </w:rPr>
        <w:t>15(1) of the 1976 Code, as last amended by Act 162 of 2005, is further amended to read:</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ab/>
        <w:t>“(1)</w:t>
      </w:r>
      <w:r w:rsidRPr="00C549F4">
        <w:rPr>
          <w:rFonts w:cs="Times New Roman"/>
          <w:u w:color="000000" w:themeColor="text1"/>
        </w:rPr>
        <w:tab/>
      </w:r>
      <w:r w:rsidRPr="009F1E9F">
        <w:rPr>
          <w:rFonts w:cs="Times New Roman"/>
          <w:u w:color="000000" w:themeColor="text1"/>
        </w:rPr>
        <w:t>‘</w:t>
      </w:r>
      <w:r w:rsidRPr="00C549F4">
        <w:rPr>
          <w:rFonts w:cs="Times New Roman"/>
          <w:u w:color="000000" w:themeColor="text1"/>
        </w:rPr>
        <w:t>Eligible institution</w:t>
      </w:r>
      <w:r w:rsidRPr="009F1E9F">
        <w:rPr>
          <w:rFonts w:cs="Times New Roman"/>
          <w:u w:color="000000" w:themeColor="text1"/>
        </w:rPr>
        <w:t>’</w:t>
      </w:r>
      <w:r w:rsidRPr="00C549F4">
        <w:rPr>
          <w:rFonts w:cs="Times New Roman"/>
          <w:u w:color="000000" w:themeColor="text1"/>
        </w:rPr>
        <w:t xml:space="preserve"> means a four</w:t>
      </w:r>
      <w:r>
        <w:rPr>
          <w:rFonts w:cs="Times New Roman"/>
          <w:u w:color="000000" w:themeColor="text1"/>
        </w:rPr>
        <w:noBreakHyphen/>
      </w:r>
      <w:r w:rsidRPr="00C549F4">
        <w:rPr>
          <w:rFonts w:cs="Times New Roman"/>
          <w:u w:color="000000" w:themeColor="text1"/>
        </w:rPr>
        <w:t>year institution of higher learning or an institution of higher learning that is accredited to offer, and is actively offering, at least one nonsectarian program at the baccalaureate level:</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ab/>
      </w:r>
      <w:r w:rsidRPr="00C549F4">
        <w:rPr>
          <w:rFonts w:cs="Times New Roman"/>
          <w:u w:color="000000" w:themeColor="text1"/>
        </w:rPr>
        <w:tab/>
        <w:t>(a)(i)</w:t>
      </w:r>
      <w:r w:rsidRPr="00C549F4">
        <w:rPr>
          <w:rFonts w:cs="Times New Roman"/>
          <w:u w:color="000000" w:themeColor="text1"/>
        </w:rPr>
        <w:tab/>
        <w:t>at which sixty percent or more of the enrolled undergraduate students were low</w:t>
      </w:r>
      <w:r>
        <w:rPr>
          <w:rFonts w:cs="Times New Roman"/>
          <w:u w:color="000000" w:themeColor="text1"/>
        </w:rPr>
        <w:noBreakHyphen/>
      </w:r>
      <w:r w:rsidRPr="00C549F4">
        <w:rPr>
          <w:rFonts w:cs="Times New Roman"/>
          <w:u w:color="000000" w:themeColor="text1"/>
        </w:rPr>
        <w:t>income and educationally disadvantaged students, for the four consecutive years immediately preceding the then current year</w:t>
      </w:r>
      <w:r>
        <w:rPr>
          <w:rFonts w:cs="Times New Roman"/>
          <w:u w:color="000000" w:themeColor="text1"/>
        </w:rPr>
        <w:t xml:space="preserve"> </w:t>
      </w:r>
      <w:r w:rsidRPr="00C549F4">
        <w:rPr>
          <w:rFonts w:cs="Times New Roman"/>
          <w:u w:color="000000" w:themeColor="text1"/>
        </w:rPr>
        <w:t>and which is defined in Part B, Subchapter III, Chapter 28, Title 20 of the United States Code; or</w:t>
      </w: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549F4">
        <w:rPr>
          <w:rFonts w:cs="Times New Roman"/>
          <w:snapToGrid w:val="0"/>
        </w:rPr>
        <w:tab/>
      </w:r>
      <w:r>
        <w:rPr>
          <w:rFonts w:cs="Times New Roman"/>
          <w:snapToGrid w:val="0"/>
        </w:rPr>
        <w:tab/>
      </w:r>
      <w:r>
        <w:rPr>
          <w:rFonts w:cs="Times New Roman"/>
          <w:snapToGrid w:val="0"/>
        </w:rPr>
        <w:tab/>
      </w:r>
      <w:r w:rsidRPr="00C549F4">
        <w:rPr>
          <w:rFonts w:cs="Times New Roman"/>
          <w:snapToGrid w:val="0"/>
        </w:rPr>
        <w:t>(ii)</w:t>
      </w:r>
      <w:r w:rsidRPr="00C549F4">
        <w:rPr>
          <w:rFonts w:cs="Times New Roman"/>
          <w:snapToGrid w:val="0"/>
        </w:rPr>
        <w:tab/>
        <w:t>which is an historically single gender women</w:t>
      </w:r>
      <w:r w:rsidRPr="009F1E9F">
        <w:rPr>
          <w:rFonts w:cs="Times New Roman"/>
          <w:snapToGrid w:val="0"/>
        </w:rPr>
        <w:t>’</w:t>
      </w:r>
      <w:r w:rsidRPr="00C549F4">
        <w:rPr>
          <w:rFonts w:cs="Times New Roman"/>
          <w:snapToGrid w:val="0"/>
        </w:rPr>
        <w:t>s institution of traditional students, as evidenced by ninety percent or more of full</w:t>
      </w:r>
      <w:r>
        <w:rPr>
          <w:rFonts w:cs="Times New Roman"/>
          <w:snapToGrid w:val="0"/>
        </w:rPr>
        <w:noBreakHyphen/>
      </w:r>
      <w:r w:rsidRPr="00C549F4">
        <w:rPr>
          <w:rFonts w:cs="Times New Roman"/>
          <w:snapToGrid w:val="0"/>
        </w:rPr>
        <w:t>time female undergraduates under twenty</w:t>
      </w:r>
      <w:r>
        <w:rPr>
          <w:rFonts w:cs="Times New Roman"/>
          <w:snapToGrid w:val="0"/>
        </w:rPr>
        <w:noBreakHyphen/>
      </w:r>
      <w:r w:rsidRPr="00C549F4">
        <w:rPr>
          <w:rFonts w:cs="Times New Roman"/>
          <w:snapToGrid w:val="0"/>
        </w:rPr>
        <w:t>five years of age for the four consecutive years immediately preceding the current year;</w:t>
      </w:r>
      <w:r w:rsidRPr="00C549F4">
        <w:rPr>
          <w:rFonts w:cs="Times New Roman"/>
          <w:snapToGrid w:val="0"/>
        </w:rPr>
        <w:tab/>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snapToGrid w:val="0"/>
        </w:rPr>
        <w:tab/>
      </w:r>
      <w:r w:rsidRPr="00C549F4">
        <w:rPr>
          <w:rFonts w:cs="Times New Roman"/>
          <w:u w:color="000000" w:themeColor="text1"/>
        </w:rPr>
        <w:tab/>
        <w:t>(b)(i)</w:t>
      </w:r>
      <w:r w:rsidRPr="00C549F4">
        <w:rPr>
          <w:rFonts w:cs="Times New Roman"/>
          <w:u w:color="000000" w:themeColor="text1"/>
        </w:rPr>
        <w:tab/>
        <w:t xml:space="preserve">that is accredited by the Southern Association of Colleges and Schools; or </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ab/>
      </w:r>
      <w:r w:rsidRPr="00C549F4">
        <w:rPr>
          <w:rFonts w:cs="Times New Roman"/>
          <w:u w:color="000000" w:themeColor="text1"/>
        </w:rPr>
        <w:tab/>
      </w:r>
      <w:r w:rsidRPr="00C549F4">
        <w:rPr>
          <w:rFonts w:cs="Times New Roman"/>
          <w:u w:color="000000" w:themeColor="text1"/>
        </w:rPr>
        <w:tab/>
        <w:t>(ii)</w:t>
      </w:r>
      <w:r w:rsidRPr="00C549F4">
        <w:rPr>
          <w:rFonts w:cs="Times New Roman"/>
          <w:u w:color="000000" w:themeColor="text1"/>
        </w:rPr>
        <w:tab/>
        <w:t>which receives Title III funding and is accredited by an accrediting organization recognized by the United States Department of Education;</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ab/>
      </w:r>
      <w:r w:rsidRPr="00C549F4">
        <w:rPr>
          <w:rFonts w:cs="Times New Roman"/>
          <w:u w:color="000000" w:themeColor="text1"/>
        </w:rPr>
        <w:tab/>
        <w:t>(c)</w:t>
      </w:r>
      <w:r w:rsidRPr="00C549F4">
        <w:rPr>
          <w:rFonts w:cs="Times New Roman"/>
          <w:u w:color="000000" w:themeColor="text1"/>
        </w:rPr>
        <w:tab/>
        <w:t>that is organized as a nonprofit corporation or is a public institution; and</w:t>
      </w: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ab/>
      </w:r>
      <w:r w:rsidRPr="00C549F4">
        <w:rPr>
          <w:rFonts w:cs="Times New Roman"/>
          <w:u w:color="000000" w:themeColor="text1"/>
        </w:rPr>
        <w:tab/>
        <w:t>(d)</w:t>
      </w:r>
      <w:r w:rsidRPr="00C549F4">
        <w:rPr>
          <w:rFonts w:cs="Times New Roman"/>
          <w:u w:color="000000" w:themeColor="text1"/>
        </w:rPr>
        <w:tab/>
        <w:t>that has its main campus located in South Carolina.”</w:t>
      </w: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2B49" w:rsidRPr="00B721C7"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Funding allocation process revised</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SECTION</w:t>
      </w:r>
      <w:r w:rsidRPr="00C549F4">
        <w:rPr>
          <w:rFonts w:cs="Times New Roman"/>
          <w:u w:color="000000" w:themeColor="text1"/>
        </w:rPr>
        <w:tab/>
        <w:t>2.</w:t>
      </w:r>
      <w:r w:rsidRPr="00C549F4">
        <w:rPr>
          <w:rFonts w:cs="Times New Roman"/>
          <w:u w:color="000000" w:themeColor="text1"/>
        </w:rPr>
        <w:tab/>
        <w:t>Section 2</w:t>
      </w:r>
      <w:r>
        <w:rPr>
          <w:rFonts w:cs="Times New Roman"/>
          <w:u w:color="000000" w:themeColor="text1"/>
        </w:rPr>
        <w:noBreakHyphen/>
      </w:r>
      <w:r w:rsidRPr="00C549F4">
        <w:rPr>
          <w:rFonts w:cs="Times New Roman"/>
          <w:u w:color="000000" w:themeColor="text1"/>
        </w:rPr>
        <w:t>77</w:t>
      </w:r>
      <w:r>
        <w:rPr>
          <w:rFonts w:cs="Times New Roman"/>
          <w:u w:color="000000" w:themeColor="text1"/>
        </w:rPr>
        <w:noBreakHyphen/>
      </w:r>
      <w:r w:rsidRPr="00C549F4">
        <w:rPr>
          <w:rFonts w:cs="Times New Roman"/>
          <w:u w:color="000000" w:themeColor="text1"/>
        </w:rPr>
        <w:t>20(C) of the 1976 Code, as last amended by Act 74 of 2011, is further amended to read:</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ab/>
        <w:t>“(C)(1)</w:t>
      </w:r>
      <w:r w:rsidRPr="00C549F4">
        <w:rPr>
          <w:rFonts w:cs="Times New Roman"/>
          <w:u w:color="000000" w:themeColor="text1"/>
        </w:rPr>
        <w:tab/>
      </w:r>
      <w:r w:rsidRPr="00C549F4">
        <w:rPr>
          <w:rFonts w:cs="Times New Roman"/>
          <w:u w:color="000000" w:themeColor="text1"/>
        </w:rPr>
        <w:tab/>
        <w:t>An institution seeking to qualify as an eligible institution must submit an annual application to the commission. The commission must certify the eligibility of institutions seeking contracts pursuant to this section.  Subject to the provisions of item (2), and less any allocations made pursuant to item (2), the funds appropriated for this program must be allocated equally among the eligible institutions.</w:t>
      </w: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549F4">
        <w:rPr>
          <w:rFonts w:cs="Times New Roman"/>
          <w:u w:color="000000" w:themeColor="text1"/>
        </w:rPr>
        <w:tab/>
      </w:r>
      <w:r w:rsidRPr="00C549F4">
        <w:rPr>
          <w:rFonts w:cs="Times New Roman"/>
          <w:u w:color="000000" w:themeColor="text1"/>
        </w:rPr>
        <w:tab/>
        <w:t>(2)</w:t>
      </w:r>
      <w:r w:rsidRPr="00C549F4">
        <w:rPr>
          <w:rFonts w:cs="Times New Roman"/>
          <w:u w:color="000000" w:themeColor="text1"/>
        </w:rPr>
        <w:tab/>
        <w:t>The Commission on Higher Education, or its successor, annually shall review and determine if funds allocated to a school pursuant to item (</w:t>
      </w:r>
      <w:r>
        <w:rPr>
          <w:rFonts w:cs="Times New Roman"/>
          <w:u w:color="000000" w:themeColor="text1"/>
        </w:rPr>
        <w:t>1</w:t>
      </w:r>
      <w:r w:rsidRPr="00C549F4">
        <w:rPr>
          <w:rFonts w:cs="Times New Roman"/>
          <w:u w:color="000000" w:themeColor="text1"/>
        </w:rPr>
        <w:t>) have been properly used by the school pursuant to Section 2</w:t>
      </w:r>
      <w:r>
        <w:rPr>
          <w:rFonts w:cs="Times New Roman"/>
          <w:u w:color="000000" w:themeColor="text1"/>
        </w:rPr>
        <w:noBreakHyphen/>
      </w:r>
      <w:r w:rsidRPr="00C549F4">
        <w:rPr>
          <w:rFonts w:cs="Times New Roman"/>
          <w:u w:color="000000" w:themeColor="text1"/>
        </w:rPr>
        <w:t>77</w:t>
      </w:r>
      <w:r>
        <w:rPr>
          <w:rFonts w:cs="Times New Roman"/>
          <w:u w:color="000000" w:themeColor="text1"/>
        </w:rPr>
        <w:noBreakHyphen/>
      </w:r>
      <w:r w:rsidRPr="00C549F4">
        <w:rPr>
          <w:rFonts w:cs="Times New Roman"/>
          <w:u w:color="000000" w:themeColor="text1"/>
        </w:rPr>
        <w:t>30. If the Commission on Higher Education, or its successor, determines these funds were used inappropriately by a school, the funds must be returned, and the following year that school</w:t>
      </w:r>
      <w:r w:rsidRPr="009F1E9F">
        <w:rPr>
          <w:rFonts w:cs="Times New Roman"/>
          <w:u w:color="000000" w:themeColor="text1"/>
        </w:rPr>
        <w:t>’</w:t>
      </w:r>
      <w:r w:rsidRPr="00C549F4">
        <w:rPr>
          <w:rFonts w:cs="Times New Roman"/>
          <w:u w:color="000000" w:themeColor="text1"/>
        </w:rPr>
        <w:t>s allocation must be reduced by fifty percent of the amount appropriated to each eligible institution pursuant to item (1).  The balance remaining from a school</w:t>
      </w:r>
      <w:r w:rsidRPr="009F1E9F">
        <w:rPr>
          <w:rFonts w:cs="Times New Roman"/>
          <w:u w:color="000000" w:themeColor="text1"/>
        </w:rPr>
        <w:t>’</w:t>
      </w:r>
      <w:r w:rsidRPr="00C549F4">
        <w:rPr>
          <w:rFonts w:cs="Times New Roman"/>
          <w:u w:color="000000" w:themeColor="text1"/>
        </w:rPr>
        <w:t>s reduced allocation must be distributed equally among the remaining eligible institutions.”</w:t>
      </w: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2B49" w:rsidRPr="00B721C7"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52"/>
        </w:rPr>
      </w:pPr>
      <w:r>
        <w:rPr>
          <w:rFonts w:cs="Times New Roman"/>
          <w:b/>
          <w:u w:color="000000" w:themeColor="text1"/>
        </w:rPr>
        <w:t>Time effective</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549F4">
        <w:rPr>
          <w:rFonts w:cs="Times New Roman"/>
          <w:u w:color="000000" w:themeColor="text1"/>
        </w:rPr>
        <w:t>SECTION</w:t>
      </w:r>
      <w:r w:rsidRPr="00C549F4">
        <w:rPr>
          <w:rFonts w:cs="Times New Roman"/>
          <w:u w:color="000000" w:themeColor="text1"/>
        </w:rPr>
        <w:tab/>
        <w:t>3.</w:t>
      </w:r>
      <w:r w:rsidRPr="00C549F4">
        <w:rPr>
          <w:rFonts w:cs="Times New Roman"/>
          <w:u w:color="000000" w:themeColor="text1"/>
        </w:rPr>
        <w:tab/>
        <w:t>This act takes effect July 1, 2016</w:t>
      </w:r>
      <w:r w:rsidRPr="00C549F4">
        <w:rPr>
          <w:rFonts w:cs="Times New Roman"/>
        </w:rPr>
        <w:t>.</w:t>
      </w:r>
    </w:p>
    <w:p w:rsidR="00AF2B49" w:rsidRPr="00C549F4"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F2B49" w:rsidRDefault="00AF2B49"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AF2B49" w:rsidRDefault="00AF2B49" w:rsidP="00AF2B49">
      <w:pPr>
        <w:jc w:val="both"/>
        <w:rPr>
          <w:color w:val="000000" w:themeColor="text1"/>
        </w:rPr>
      </w:pPr>
    </w:p>
    <w:p w:rsidR="00AF2B49" w:rsidRDefault="00AF2B49" w:rsidP="00AF2B49">
      <w:pPr>
        <w:jc w:val="both"/>
        <w:rPr>
          <w:color w:val="000000" w:themeColor="text1"/>
        </w:rPr>
      </w:pPr>
      <w:r>
        <w:rPr>
          <w:color w:val="000000" w:themeColor="text1"/>
        </w:rPr>
        <w:t>Approved the 14</w:t>
      </w:r>
      <w:r w:rsidRPr="006C19A5">
        <w:rPr>
          <w:color w:val="000000" w:themeColor="text1"/>
          <w:vertAlign w:val="superscript"/>
        </w:rPr>
        <w:t>th</w:t>
      </w:r>
      <w:r>
        <w:rPr>
          <w:color w:val="000000" w:themeColor="text1"/>
        </w:rPr>
        <w:t xml:space="preserve"> day of March, 2016. </w:t>
      </w:r>
    </w:p>
    <w:p w:rsidR="00AF2B49" w:rsidRDefault="00AF2B49" w:rsidP="00AF2B49">
      <w:pPr>
        <w:jc w:val="center"/>
        <w:rPr>
          <w:color w:val="000000" w:themeColor="text1"/>
        </w:rPr>
      </w:pPr>
    </w:p>
    <w:p w:rsidR="00AF2B49" w:rsidRDefault="00AF2B49" w:rsidP="00AF2B49">
      <w:pPr>
        <w:jc w:val="center"/>
        <w:rPr>
          <w:color w:val="000000" w:themeColor="text1"/>
        </w:rPr>
      </w:pPr>
      <w:r>
        <w:rPr>
          <w:color w:val="000000" w:themeColor="text1"/>
        </w:rPr>
        <w:t>__________</w:t>
      </w:r>
    </w:p>
    <w:p w:rsidR="00C51168" w:rsidRPr="007B47F1" w:rsidRDefault="00C51168" w:rsidP="00AF2B4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51168" w:rsidRPr="007B47F1" w:rsidSect="00C51168">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32B6A" w:rsidRDefault="00132B6A" w:rsidP="007D5FAC">
      <w:r>
        <w:separator/>
      </w:r>
    </w:p>
  </w:endnote>
  <w:endnote w:type="continuationSeparator" w:id="0">
    <w:p w:rsidR="00132B6A" w:rsidRDefault="00132B6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68" w:rsidRPr="00C51168" w:rsidRDefault="00C51168" w:rsidP="00C5116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F2B4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51168" w:rsidRDefault="00C511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32B6A" w:rsidRDefault="00132B6A" w:rsidP="007D5FAC">
      <w:r>
        <w:separator/>
      </w:r>
    </w:p>
  </w:footnote>
  <w:footnote w:type="continuationSeparator" w:id="0">
    <w:p w:rsidR="00132B6A" w:rsidRDefault="00132B6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534"/>
    <w:docVar w:name="ActSecretary" w:val="Morgan"/>
    <w:docVar w:name="ActSIdno" w:val="(93)  3534AB16"/>
    <w:docVar w:name="clipname" w:val="3534AB16"/>
    <w:docVar w:name="dvBillNumber" w:val="3534"/>
    <w:docVar w:name="dvBillNumberPrefix" w:val="H"/>
    <w:docVar w:name="dvOriginalBody" w:val="House"/>
    <w:docVar w:name="HOUSEACTFULLPATH" w:val="L:\COUNCIL\ACTS\3534AB16.DOCX"/>
    <w:docVar w:name="OrigHOUSEBillNo" w:val="3534"/>
    <w:docVar w:name="WhatActtype" w:val="AN ACT"/>
  </w:docVars>
  <w:rsids>
    <w:rsidRoot w:val="00132B6A"/>
    <w:rsid w:val="000003F0"/>
    <w:rsid w:val="00002DE0"/>
    <w:rsid w:val="00020349"/>
    <w:rsid w:val="00020977"/>
    <w:rsid w:val="00021B0B"/>
    <w:rsid w:val="00040C05"/>
    <w:rsid w:val="0004579B"/>
    <w:rsid w:val="000518F6"/>
    <w:rsid w:val="00051B4F"/>
    <w:rsid w:val="00056FAA"/>
    <w:rsid w:val="00060E60"/>
    <w:rsid w:val="000673E4"/>
    <w:rsid w:val="0007088D"/>
    <w:rsid w:val="000731E9"/>
    <w:rsid w:val="00074565"/>
    <w:rsid w:val="00076A1A"/>
    <w:rsid w:val="00077DA3"/>
    <w:rsid w:val="00081300"/>
    <w:rsid w:val="00081933"/>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2B6A"/>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1218"/>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2A7D"/>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640"/>
    <w:rsid w:val="003A6D96"/>
    <w:rsid w:val="003A7517"/>
    <w:rsid w:val="003B105A"/>
    <w:rsid w:val="003B1A01"/>
    <w:rsid w:val="003B2E6E"/>
    <w:rsid w:val="003B355D"/>
    <w:rsid w:val="003B6BB7"/>
    <w:rsid w:val="003B6EA0"/>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683"/>
    <w:rsid w:val="0045270B"/>
    <w:rsid w:val="004666F5"/>
    <w:rsid w:val="00472A5B"/>
    <w:rsid w:val="00475FAD"/>
    <w:rsid w:val="00480690"/>
    <w:rsid w:val="00484DF4"/>
    <w:rsid w:val="00486109"/>
    <w:rsid w:val="0049067C"/>
    <w:rsid w:val="0049220A"/>
    <w:rsid w:val="00493D24"/>
    <w:rsid w:val="004941A4"/>
    <w:rsid w:val="00497784"/>
    <w:rsid w:val="004A073E"/>
    <w:rsid w:val="004A1278"/>
    <w:rsid w:val="004A4186"/>
    <w:rsid w:val="004A5193"/>
    <w:rsid w:val="004A76F3"/>
    <w:rsid w:val="004B1DA6"/>
    <w:rsid w:val="004B27E8"/>
    <w:rsid w:val="004B3536"/>
    <w:rsid w:val="004B402A"/>
    <w:rsid w:val="004B41E5"/>
    <w:rsid w:val="004B79F9"/>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14"/>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97C3A"/>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47F1"/>
    <w:rsid w:val="007B59FD"/>
    <w:rsid w:val="007C3D08"/>
    <w:rsid w:val="007C3EC8"/>
    <w:rsid w:val="007C7B7F"/>
    <w:rsid w:val="007D5FAC"/>
    <w:rsid w:val="007E19E6"/>
    <w:rsid w:val="007E321A"/>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898"/>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E9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2B49"/>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1C7"/>
    <w:rsid w:val="00B72ED3"/>
    <w:rsid w:val="00B730BC"/>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168"/>
    <w:rsid w:val="00C55195"/>
    <w:rsid w:val="00C7071A"/>
    <w:rsid w:val="00C741B6"/>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500E"/>
    <w:rsid w:val="00E0650C"/>
    <w:rsid w:val="00E06B5E"/>
    <w:rsid w:val="00E076BB"/>
    <w:rsid w:val="00E12904"/>
    <w:rsid w:val="00E140B1"/>
    <w:rsid w:val="00E14905"/>
    <w:rsid w:val="00E33964"/>
    <w:rsid w:val="00E33DFF"/>
    <w:rsid w:val="00E3462F"/>
    <w:rsid w:val="00E36231"/>
    <w:rsid w:val="00E500F1"/>
    <w:rsid w:val="00E50C63"/>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3D9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87BE2"/>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3DCC007-441C-4BF0-9B8A-29F8DD3ACC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511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F1E9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F1E9F"/>
    <w:rPr>
      <w:rFonts w:ascii="Segoe UI" w:hAnsi="Segoe UI" w:cs="Segoe UI"/>
      <w:sz w:val="18"/>
      <w:szCs w:val="18"/>
    </w:rPr>
  </w:style>
  <w:style w:type="table" w:styleId="TableGrid">
    <w:name w:val="Table Grid"/>
    <w:basedOn w:val="TableNormal"/>
    <w:uiPriority w:val="59"/>
    <w:rsid w:val="00493D2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5116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0500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05-15.docx" TargetMode="External"/><Relationship Id="rId13" Type="http://schemas.openxmlformats.org/officeDocument/2006/relationships/hyperlink" Target="file:///h:\HJ%20Archive\2015\04-23-15.docx" TargetMode="External"/><Relationship Id="rId18" Type="http://schemas.openxmlformats.org/officeDocument/2006/relationships/hyperlink" Target="file:///h:\SJ%20Archive\2016\03-01-16.docx" TargetMode="External"/><Relationship Id="rId26" Type="http://schemas.openxmlformats.org/officeDocument/2006/relationships/hyperlink" Target="file:///p:\pprever\2015-16\3534_20150422.docx" TargetMode="External"/><Relationship Id="rId3" Type="http://schemas.openxmlformats.org/officeDocument/2006/relationships/settings" Target="settings.xml"/><Relationship Id="rId21" Type="http://schemas.openxmlformats.org/officeDocument/2006/relationships/hyperlink" Target="file:///h:\SJ%20Archive\2016\03-08-16.docx" TargetMode="External"/><Relationship Id="rId34" Type="http://schemas.openxmlformats.org/officeDocument/2006/relationships/footer" Target="footer2.xml"/><Relationship Id="rId7" Type="http://schemas.openxmlformats.org/officeDocument/2006/relationships/hyperlink" Target="file:///h:\HJ%20Archive\2015\02-05-15.docx" TargetMode="External"/><Relationship Id="rId12" Type="http://schemas.openxmlformats.org/officeDocument/2006/relationships/hyperlink" Target="file:///h:\HJ%20Archive\2015\04-23-15.docx" TargetMode="External"/><Relationship Id="rId17" Type="http://schemas.openxmlformats.org/officeDocument/2006/relationships/hyperlink" Target="file:///h:\SJ%20Archive\2016\02-25-16.docx" TargetMode="External"/><Relationship Id="rId25" Type="http://schemas.openxmlformats.org/officeDocument/2006/relationships/hyperlink" Target="file:///p:\pprever\2015-16\3534_20150205.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5\04-28-15.docx" TargetMode="External"/><Relationship Id="rId20" Type="http://schemas.openxmlformats.org/officeDocument/2006/relationships/hyperlink" Target="file:///h:\SJ%20Archive\2016\03-01-16.docx" TargetMode="External"/><Relationship Id="rId29" Type="http://schemas.openxmlformats.org/officeDocument/2006/relationships/hyperlink" Target="file:///p:\pprever\2015-16\3534_201602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3-15.docx" TargetMode="External"/><Relationship Id="rId24" Type="http://schemas.openxmlformats.org/officeDocument/2006/relationships/hyperlink" Target="http://www.scstatehouse.gov/billsearch.php?billnumbers=3534&amp;session=121&amp;summary=B" TargetMode="External"/><Relationship Id="rId32" Type="http://schemas.openxmlformats.org/officeDocument/2006/relationships/hyperlink" Target="file:///p:\pprever\2015-16\3534_20160302.docx" TargetMode="External"/><Relationship Id="rId5" Type="http://schemas.openxmlformats.org/officeDocument/2006/relationships/footnotes" Target="footnotes.xml"/><Relationship Id="rId15" Type="http://schemas.openxmlformats.org/officeDocument/2006/relationships/hyperlink" Target="file:///h:\SJ%20Archive\2015\04-28-15.docx" TargetMode="External"/><Relationship Id="rId23" Type="http://schemas.openxmlformats.org/officeDocument/2006/relationships/hyperlink" Target="file:///h:\HJ%20Archive\2016\03-09-16.docx" TargetMode="External"/><Relationship Id="rId28" Type="http://schemas.openxmlformats.org/officeDocument/2006/relationships/hyperlink" Target="file:///p:\pprever\2015-16\3534_20150424.docx" TargetMode="External"/><Relationship Id="rId36" Type="http://schemas.openxmlformats.org/officeDocument/2006/relationships/theme" Target="theme/theme1.xml"/><Relationship Id="rId10" Type="http://schemas.openxmlformats.org/officeDocument/2006/relationships/hyperlink" Target="file:///h:\HJ%20Archive\2015\04-23-15.docx" TargetMode="External"/><Relationship Id="rId19" Type="http://schemas.openxmlformats.org/officeDocument/2006/relationships/hyperlink" Target="file:///h:\SJ%20Archive\2016\03-01-16.docx" TargetMode="External"/><Relationship Id="rId31" Type="http://schemas.openxmlformats.org/officeDocument/2006/relationships/hyperlink" Target="file:///p:\pprever\2015-16\3534_20160301.docx" TargetMode="External"/><Relationship Id="rId4" Type="http://schemas.openxmlformats.org/officeDocument/2006/relationships/webSettings" Target="webSettings.xml"/><Relationship Id="rId9" Type="http://schemas.openxmlformats.org/officeDocument/2006/relationships/hyperlink" Target="file:///h:\HJ%20Archive\2015\04-22-15.docx" TargetMode="External"/><Relationship Id="rId14" Type="http://schemas.openxmlformats.org/officeDocument/2006/relationships/hyperlink" Target="file:///h:\HJ%20Archive\2015\04-25-15.docx" TargetMode="External"/><Relationship Id="rId22" Type="http://schemas.openxmlformats.org/officeDocument/2006/relationships/hyperlink" Target="file:///h:\HJ%20Archive\2016\03-09-16.docx" TargetMode="External"/><Relationship Id="rId27" Type="http://schemas.openxmlformats.org/officeDocument/2006/relationships/hyperlink" Target="file:///p:\pprever\2015-16\3534_20150423.docx" TargetMode="External"/><Relationship Id="rId30" Type="http://schemas.openxmlformats.org/officeDocument/2006/relationships/hyperlink" Target="file:///p:\pprever\2015-16\3534_20160229.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72E11D-58F9-4E75-8092-DA40178E1F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1131</Words>
  <Characters>6449</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3534: Higher Education Excellence Enhancement Program - South Carolina Legislature Online</dc:title>
  <dc:subject/>
  <dc:creator>angiemorgan</dc:creator>
  <cp:keywords/>
  <dc:description/>
  <cp:lastModifiedBy>N Cumfer</cp:lastModifiedBy>
  <cp:revision>2</cp:revision>
  <cp:lastPrinted>2016-03-09T19:58:00Z</cp:lastPrinted>
  <dcterms:created xsi:type="dcterms:W3CDTF">2016-12-02T18:07:00Z</dcterms:created>
  <dcterms:modified xsi:type="dcterms:W3CDTF">2016-12-02T18:07:00Z</dcterms:modified>
</cp:coreProperties>
</file>