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62598">
        <w:rPr>
          <w:rFonts w:eastAsia="Times New Roman" w:cs="Times New Roman"/>
          <w:b/>
          <w:szCs w:val="20"/>
        </w:rPr>
        <w:t>South Carolina General Assembly</w:t>
      </w: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62598">
        <w:rPr>
          <w:rFonts w:eastAsia="Times New Roman" w:cs="Times New Roman"/>
          <w:szCs w:val="20"/>
        </w:rPr>
        <w:t>121st Session, 2015-2016</w:t>
      </w: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2598" w:rsidRPr="00162598" w:rsidRDefault="00765461"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A221, R252, H3560</w:t>
      </w: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2598">
        <w:rPr>
          <w:rFonts w:eastAsia="Times New Roman" w:cs="Times New Roman"/>
          <w:b/>
          <w:szCs w:val="20"/>
        </w:rPr>
        <w:t>STATUS INFORMATION</w:t>
      </w: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2598">
        <w:rPr>
          <w:rFonts w:eastAsia="Times New Roman" w:cs="Times New Roman"/>
          <w:szCs w:val="20"/>
        </w:rPr>
        <w:t>General Bill</w:t>
      </w: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2598">
        <w:rPr>
          <w:rFonts w:eastAsia="Times New Roman" w:cs="Times New Roman"/>
          <w:szCs w:val="20"/>
        </w:rPr>
        <w:t>Sponsors: Reps. Limehouse, Sottile, McCoy and Spires</w:t>
      </w: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2598">
        <w:rPr>
          <w:rFonts w:eastAsia="Times New Roman" w:cs="Times New Roman"/>
          <w:szCs w:val="20"/>
        </w:rPr>
        <w:t>Document Path: l:\council\bills\bh\26227ab15.docx</w:t>
      </w: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0F5F" w:rsidRDefault="00B30F5F"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2015</w:t>
      </w:r>
    </w:p>
    <w:p w:rsidR="00B30F5F" w:rsidRDefault="00B30F5F"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B30F5F" w:rsidRDefault="00B30F5F"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2016</w:t>
      </w:r>
    </w:p>
    <w:p w:rsidR="00B30F5F" w:rsidRDefault="00B30F5F"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B30F5F" w:rsidRDefault="00B30F5F"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B30F5F" w:rsidRDefault="00B30F5F"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2598">
        <w:rPr>
          <w:rFonts w:eastAsia="Times New Roman" w:cs="Times New Roman"/>
          <w:szCs w:val="20"/>
        </w:rPr>
        <w:t>Summary: Teacher dismissal hearings</w:t>
      </w: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2598" w:rsidRPr="00162598" w:rsidRDefault="00162598" w:rsidP="00162598">
      <w:pPr>
        <w:widowControl w:val="0"/>
        <w:tabs>
          <w:tab w:val="center" w:pos="590"/>
          <w:tab w:val="center" w:pos="1440"/>
          <w:tab w:val="left" w:pos="1872"/>
          <w:tab w:val="left" w:pos="9187"/>
        </w:tabs>
        <w:rPr>
          <w:rFonts w:eastAsia="Times New Roman" w:cs="Times New Roman"/>
          <w:szCs w:val="20"/>
        </w:rPr>
      </w:pPr>
      <w:r w:rsidRPr="00162598">
        <w:rPr>
          <w:rFonts w:eastAsia="Times New Roman" w:cs="Times New Roman"/>
          <w:b/>
          <w:szCs w:val="20"/>
        </w:rPr>
        <w:t>HISTORY OF LEGISLATIVE ACTIONS</w:t>
      </w:r>
    </w:p>
    <w:p w:rsidR="00162598" w:rsidRPr="00162598" w:rsidRDefault="00162598" w:rsidP="00162598">
      <w:pPr>
        <w:widowControl w:val="0"/>
        <w:tabs>
          <w:tab w:val="center" w:pos="590"/>
          <w:tab w:val="center" w:pos="1440"/>
          <w:tab w:val="left" w:pos="1872"/>
          <w:tab w:val="left" w:pos="9187"/>
        </w:tabs>
        <w:rPr>
          <w:rFonts w:eastAsia="Times New Roman" w:cs="Times New Roman"/>
          <w:szCs w:val="20"/>
        </w:rPr>
      </w:pPr>
    </w:p>
    <w:p w:rsidR="00162598" w:rsidRPr="00162598" w:rsidRDefault="00162598" w:rsidP="00162598">
      <w:pPr>
        <w:widowControl w:val="0"/>
        <w:tabs>
          <w:tab w:val="center" w:pos="590"/>
          <w:tab w:val="center" w:pos="1440"/>
          <w:tab w:val="left" w:pos="1872"/>
          <w:tab w:val="left" w:pos="9187"/>
        </w:tabs>
        <w:rPr>
          <w:rFonts w:eastAsia="Times New Roman" w:cs="Times New Roman"/>
          <w:szCs w:val="20"/>
        </w:rPr>
      </w:pPr>
      <w:r w:rsidRPr="00162598">
        <w:rPr>
          <w:rFonts w:eastAsia="Times New Roman" w:cs="Times New Roman"/>
          <w:szCs w:val="20"/>
          <w:u w:val="single"/>
        </w:rPr>
        <w:tab/>
        <w:t>Date</w:t>
      </w:r>
      <w:r w:rsidRPr="00162598">
        <w:rPr>
          <w:rFonts w:eastAsia="Times New Roman" w:cs="Times New Roman"/>
          <w:szCs w:val="20"/>
          <w:u w:val="single"/>
        </w:rPr>
        <w:tab/>
        <w:t>Body</w:t>
      </w:r>
      <w:r w:rsidRPr="00162598">
        <w:rPr>
          <w:rFonts w:eastAsia="Times New Roman" w:cs="Times New Roman"/>
          <w:szCs w:val="20"/>
          <w:u w:val="single"/>
        </w:rPr>
        <w:tab/>
        <w:t>Action Description with journal page number</w:t>
      </w:r>
      <w:r w:rsidRPr="00162598">
        <w:rPr>
          <w:rFonts w:eastAsia="Times New Roman" w:cs="Times New Roman"/>
          <w:szCs w:val="20"/>
          <w:u w:val="single"/>
        </w:rPr>
        <w:tab/>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61079A">
        <w:rPr>
          <w:rFonts w:cs="Times New Roman"/>
        </w:rPr>
        <w:t>Introduced and read first time (</w:t>
      </w:r>
      <w:hyperlink r:id="rId7" w:history="1">
        <w:r w:rsidRPr="002369F7">
          <w:rPr>
            <w:rStyle w:val="Hyperlink"/>
            <w:rFonts w:cs="Times New Roman"/>
          </w:rPr>
          <w:t>House Journal</w:t>
        </w:r>
        <w:r w:rsidRPr="002369F7">
          <w:rPr>
            <w:rStyle w:val="Hyperlink"/>
            <w:rFonts w:cs="Times New Roman"/>
          </w:rPr>
          <w:noBreakHyphen/>
          <w:t>page 6</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61079A">
        <w:rPr>
          <w:rFonts w:cs="Times New Roman"/>
        </w:rPr>
        <w:t>Referred to Co</w:t>
      </w:r>
      <w:r>
        <w:rPr>
          <w:rFonts w:cs="Times New Roman"/>
        </w:rPr>
        <w:t xml:space="preserve">mmittee on </w:t>
      </w:r>
      <w:r w:rsidRPr="0061079A">
        <w:rPr>
          <w:rFonts w:cs="Times New Roman"/>
          <w:b/>
        </w:rPr>
        <w:t>Education and Public Works</w:t>
      </w:r>
      <w:r w:rsidRPr="0061079A">
        <w:rPr>
          <w:rFonts w:cs="Times New Roman"/>
        </w:rPr>
        <w:t xml:space="preserve"> (</w:t>
      </w:r>
      <w:hyperlink r:id="rId8" w:history="1">
        <w:r w:rsidRPr="002369F7">
          <w:rPr>
            <w:rStyle w:val="Hyperlink"/>
            <w:rFonts w:cs="Times New Roman"/>
          </w:rPr>
          <w:t>House Journal</w:t>
        </w:r>
        <w:r w:rsidRPr="002369F7">
          <w:rPr>
            <w:rStyle w:val="Hyperlink"/>
            <w:rFonts w:cs="Times New Roman"/>
          </w:rPr>
          <w:noBreakHyphen/>
          <w:t>page 6</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61079A">
        <w:rPr>
          <w:rFonts w:cs="Times New Roman"/>
        </w:rPr>
        <w:t>Committee report: Favorable with amendment</w:t>
      </w:r>
      <w:r>
        <w:rPr>
          <w:rFonts w:cs="Times New Roman"/>
        </w:rPr>
        <w:t xml:space="preserve"> </w:t>
      </w:r>
      <w:r w:rsidRPr="0061079A">
        <w:rPr>
          <w:rFonts w:cs="Times New Roman"/>
          <w:b/>
        </w:rPr>
        <w:t>Education and Public Works</w:t>
      </w:r>
      <w:r w:rsidRPr="0061079A">
        <w:rPr>
          <w:rFonts w:cs="Times New Roman"/>
        </w:rPr>
        <w:t xml:space="preserve"> (</w:t>
      </w:r>
      <w:hyperlink r:id="rId9" w:history="1">
        <w:r w:rsidRPr="002369F7">
          <w:rPr>
            <w:rStyle w:val="Hyperlink"/>
            <w:rFonts w:cs="Times New Roman"/>
          </w:rPr>
          <w:t>House Journal</w:t>
        </w:r>
        <w:r w:rsidRPr="002369F7">
          <w:rPr>
            <w:rStyle w:val="Hyperlink"/>
            <w:rFonts w:cs="Times New Roman"/>
          </w:rPr>
          <w:noBreakHyphen/>
          <w:t>page 9</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61079A">
        <w:rPr>
          <w:rFonts w:cs="Times New Roman"/>
        </w:rPr>
        <w:t>Amended (</w:t>
      </w:r>
      <w:hyperlink r:id="rId10" w:history="1">
        <w:r w:rsidRPr="002369F7">
          <w:rPr>
            <w:rStyle w:val="Hyperlink"/>
            <w:rFonts w:cs="Times New Roman"/>
          </w:rPr>
          <w:t>House Journal</w:t>
        </w:r>
        <w:r w:rsidRPr="002369F7">
          <w:rPr>
            <w:rStyle w:val="Hyperlink"/>
            <w:rFonts w:cs="Times New Roman"/>
          </w:rPr>
          <w:noBreakHyphen/>
          <w:t>page 71</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61079A">
        <w:rPr>
          <w:rFonts w:cs="Times New Roman"/>
        </w:rPr>
        <w:t>Read second time (</w:t>
      </w:r>
      <w:hyperlink r:id="rId11" w:history="1">
        <w:r w:rsidRPr="002369F7">
          <w:rPr>
            <w:rStyle w:val="Hyperlink"/>
            <w:rFonts w:cs="Times New Roman"/>
          </w:rPr>
          <w:t>House Journal</w:t>
        </w:r>
        <w:r w:rsidRPr="002369F7">
          <w:rPr>
            <w:rStyle w:val="Hyperlink"/>
            <w:rFonts w:cs="Times New Roman"/>
          </w:rPr>
          <w:noBreakHyphen/>
          <w:t>page 71</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61079A">
        <w:rPr>
          <w:rFonts w:cs="Times New Roman"/>
        </w:rPr>
        <w:t>Roll call Yeas</w:t>
      </w:r>
      <w:r>
        <w:rPr>
          <w:rFonts w:cs="Times New Roman"/>
        </w:rPr>
        <w:noBreakHyphen/>
      </w:r>
      <w:r w:rsidRPr="0061079A">
        <w:rPr>
          <w:rFonts w:cs="Times New Roman"/>
        </w:rPr>
        <w:t>96  Nays</w:t>
      </w:r>
      <w:r>
        <w:rPr>
          <w:rFonts w:cs="Times New Roman"/>
        </w:rPr>
        <w:noBreakHyphen/>
      </w:r>
      <w:r w:rsidRPr="0061079A">
        <w:rPr>
          <w:rFonts w:cs="Times New Roman"/>
        </w:rPr>
        <w:t>3 (</w:t>
      </w:r>
      <w:hyperlink r:id="rId12" w:history="1">
        <w:r w:rsidRPr="002369F7">
          <w:rPr>
            <w:rStyle w:val="Hyperlink"/>
            <w:rFonts w:cs="Times New Roman"/>
          </w:rPr>
          <w:t>House Journal</w:t>
        </w:r>
        <w:r w:rsidRPr="002369F7">
          <w:rPr>
            <w:rStyle w:val="Hyperlink"/>
            <w:rFonts w:cs="Times New Roman"/>
          </w:rPr>
          <w:noBreakHyphen/>
          <w:t>page 77</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61079A">
        <w:rPr>
          <w:rFonts w:cs="Times New Roman"/>
        </w:rPr>
        <w:t>Rea</w:t>
      </w:r>
      <w:r>
        <w:rPr>
          <w:rFonts w:cs="Times New Roman"/>
        </w:rPr>
        <w:t xml:space="preserve">d third time and sent to Senate </w:t>
      </w:r>
      <w:r w:rsidRPr="0061079A">
        <w:rPr>
          <w:rFonts w:cs="Times New Roman"/>
        </w:rPr>
        <w:t>(</w:t>
      </w:r>
      <w:hyperlink r:id="rId13" w:history="1">
        <w:r w:rsidRPr="002369F7">
          <w:rPr>
            <w:rStyle w:val="Hyperlink"/>
            <w:rFonts w:cs="Times New Roman"/>
          </w:rPr>
          <w:t>House Journal</w:t>
        </w:r>
        <w:r w:rsidRPr="002369F7">
          <w:rPr>
            <w:rStyle w:val="Hyperlink"/>
            <w:rFonts w:cs="Times New Roman"/>
          </w:rPr>
          <w:noBreakHyphen/>
          <w:t>page 14</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61079A">
        <w:rPr>
          <w:rFonts w:cs="Times New Roman"/>
        </w:rPr>
        <w:t>Introduced and read first time (</w:t>
      </w:r>
      <w:hyperlink r:id="rId14" w:history="1">
        <w:r w:rsidRPr="002369F7">
          <w:rPr>
            <w:rStyle w:val="Hyperlink"/>
            <w:rFonts w:cs="Times New Roman"/>
          </w:rPr>
          <w:t>Senate Journal</w:t>
        </w:r>
        <w:r w:rsidRPr="002369F7">
          <w:rPr>
            <w:rStyle w:val="Hyperlink"/>
            <w:rFonts w:cs="Times New Roman"/>
          </w:rPr>
          <w:noBreakHyphen/>
          <w:t>page 12</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61079A">
        <w:rPr>
          <w:rFonts w:cs="Times New Roman"/>
        </w:rPr>
        <w:t>Ref</w:t>
      </w:r>
      <w:r>
        <w:rPr>
          <w:rFonts w:cs="Times New Roman"/>
        </w:rPr>
        <w:t xml:space="preserve">erred to Committee on </w:t>
      </w:r>
      <w:r w:rsidRPr="0061079A">
        <w:rPr>
          <w:rFonts w:cs="Times New Roman"/>
          <w:b/>
        </w:rPr>
        <w:t>Education</w:t>
      </w:r>
      <w:r>
        <w:rPr>
          <w:rFonts w:cs="Times New Roman"/>
        </w:rPr>
        <w:t xml:space="preserve"> </w:t>
      </w:r>
      <w:r w:rsidRPr="0061079A">
        <w:rPr>
          <w:rFonts w:cs="Times New Roman"/>
        </w:rPr>
        <w:t>(</w:t>
      </w:r>
      <w:hyperlink r:id="rId15" w:history="1">
        <w:r w:rsidRPr="002369F7">
          <w:rPr>
            <w:rStyle w:val="Hyperlink"/>
            <w:rFonts w:cs="Times New Roman"/>
          </w:rPr>
          <w:t>Senate Journal</w:t>
        </w:r>
        <w:r w:rsidRPr="002369F7">
          <w:rPr>
            <w:rStyle w:val="Hyperlink"/>
            <w:rFonts w:cs="Times New Roman"/>
          </w:rPr>
          <w:noBreakHyphen/>
          <w:t>page 12</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Senate</w:t>
      </w:r>
      <w:r>
        <w:rPr>
          <w:rFonts w:cs="Times New Roman"/>
        </w:rPr>
        <w:tab/>
      </w:r>
      <w:r w:rsidRPr="0061079A">
        <w:rPr>
          <w:rFonts w:cs="Times New Roman"/>
        </w:rPr>
        <w:t>Recal</w:t>
      </w:r>
      <w:r>
        <w:rPr>
          <w:rFonts w:cs="Times New Roman"/>
        </w:rPr>
        <w:t xml:space="preserve">led from Committee on </w:t>
      </w:r>
      <w:r w:rsidRPr="0061079A">
        <w:rPr>
          <w:rFonts w:cs="Times New Roman"/>
          <w:b/>
        </w:rPr>
        <w:t>Education</w:t>
      </w:r>
      <w:r>
        <w:rPr>
          <w:rFonts w:cs="Times New Roman"/>
        </w:rPr>
        <w:t xml:space="preserve"> </w:t>
      </w:r>
      <w:r w:rsidRPr="0061079A">
        <w:rPr>
          <w:rFonts w:cs="Times New Roman"/>
        </w:rPr>
        <w:t>(</w:t>
      </w:r>
      <w:hyperlink r:id="rId16" w:history="1">
        <w:r w:rsidRPr="002369F7">
          <w:rPr>
            <w:rStyle w:val="Hyperlink"/>
            <w:rFonts w:cs="Times New Roman"/>
          </w:rPr>
          <w:t>Senate Journal</w:t>
        </w:r>
        <w:r w:rsidRPr="002369F7">
          <w:rPr>
            <w:rStyle w:val="Hyperlink"/>
            <w:rFonts w:cs="Times New Roman"/>
          </w:rPr>
          <w:noBreakHyphen/>
          <w:t>page 3</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Senate</w:t>
      </w:r>
      <w:r>
        <w:rPr>
          <w:rFonts w:cs="Times New Roman"/>
        </w:rPr>
        <w:tab/>
      </w:r>
      <w:r w:rsidRPr="0061079A">
        <w:rPr>
          <w:rFonts w:cs="Times New Roman"/>
        </w:rPr>
        <w:t>Committee repor</w:t>
      </w:r>
      <w:r>
        <w:rPr>
          <w:rFonts w:cs="Times New Roman"/>
        </w:rPr>
        <w:t xml:space="preserve">t: Majority favorable, minority </w:t>
      </w:r>
      <w:r w:rsidRPr="0061079A">
        <w:rPr>
          <w:rFonts w:cs="Times New Roman"/>
        </w:rPr>
        <w:t xml:space="preserve">unfavorable </w:t>
      </w:r>
      <w:r w:rsidRPr="0061079A">
        <w:rPr>
          <w:rFonts w:cs="Times New Roman"/>
          <w:b/>
        </w:rPr>
        <w:t>Education</w:t>
      </w:r>
      <w:r w:rsidRPr="0061079A">
        <w:rPr>
          <w:rFonts w:cs="Times New Roman"/>
        </w:rPr>
        <w:t xml:space="preserve"> (</w:t>
      </w:r>
      <w:hyperlink r:id="rId17" w:history="1">
        <w:r w:rsidRPr="002369F7">
          <w:rPr>
            <w:rStyle w:val="Hyperlink"/>
            <w:rFonts w:cs="Times New Roman"/>
          </w:rPr>
          <w:t>Senate Journal</w:t>
        </w:r>
        <w:r w:rsidRPr="002369F7">
          <w:rPr>
            <w:rStyle w:val="Hyperlink"/>
            <w:rFonts w:cs="Times New Roman"/>
          </w:rPr>
          <w:noBreakHyphen/>
          <w:t>page 3</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61079A">
        <w:rPr>
          <w:rFonts w:cs="Times New Roman"/>
        </w:rPr>
        <w:t>Amended (</w:t>
      </w:r>
      <w:hyperlink r:id="rId18" w:history="1">
        <w:r w:rsidRPr="002369F7">
          <w:rPr>
            <w:rStyle w:val="Hyperlink"/>
            <w:rFonts w:cs="Times New Roman"/>
          </w:rPr>
          <w:t>Senate Journal</w:t>
        </w:r>
        <w:r w:rsidRPr="002369F7">
          <w:rPr>
            <w:rStyle w:val="Hyperlink"/>
            <w:rFonts w:cs="Times New Roman"/>
          </w:rPr>
          <w:noBreakHyphen/>
          <w:t>page 18</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61079A">
        <w:rPr>
          <w:rFonts w:cs="Times New Roman"/>
        </w:rPr>
        <w:t>Read second time (</w:t>
      </w:r>
      <w:hyperlink r:id="rId19" w:history="1">
        <w:r w:rsidRPr="002369F7">
          <w:rPr>
            <w:rStyle w:val="Hyperlink"/>
            <w:rFonts w:cs="Times New Roman"/>
          </w:rPr>
          <w:t>Senate Journal</w:t>
        </w:r>
        <w:r w:rsidRPr="002369F7">
          <w:rPr>
            <w:rStyle w:val="Hyperlink"/>
            <w:rFonts w:cs="Times New Roman"/>
          </w:rPr>
          <w:noBreakHyphen/>
          <w:t>page 18</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61079A">
        <w:rPr>
          <w:rFonts w:cs="Times New Roman"/>
        </w:rPr>
        <w:t>Roll call Ayes</w:t>
      </w:r>
      <w:r>
        <w:rPr>
          <w:rFonts w:cs="Times New Roman"/>
        </w:rPr>
        <w:noBreakHyphen/>
      </w:r>
      <w:r w:rsidRPr="0061079A">
        <w:rPr>
          <w:rFonts w:cs="Times New Roman"/>
        </w:rPr>
        <w:t>40  Nays</w:t>
      </w:r>
      <w:r>
        <w:rPr>
          <w:rFonts w:cs="Times New Roman"/>
        </w:rPr>
        <w:noBreakHyphen/>
      </w:r>
      <w:r w:rsidRPr="0061079A">
        <w:rPr>
          <w:rFonts w:cs="Times New Roman"/>
        </w:rPr>
        <w:t>1 (</w:t>
      </w:r>
      <w:hyperlink r:id="rId20" w:history="1">
        <w:r w:rsidRPr="002369F7">
          <w:rPr>
            <w:rStyle w:val="Hyperlink"/>
            <w:rFonts w:cs="Times New Roman"/>
          </w:rPr>
          <w:t>Senate Journal</w:t>
        </w:r>
        <w:r w:rsidRPr="002369F7">
          <w:rPr>
            <w:rStyle w:val="Hyperlink"/>
            <w:rFonts w:cs="Times New Roman"/>
          </w:rPr>
          <w:noBreakHyphen/>
          <w:t>page 18</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61079A">
        <w:rPr>
          <w:rFonts w:cs="Times New Roman"/>
        </w:rPr>
        <w:t xml:space="preserve">Read third </w:t>
      </w:r>
      <w:r>
        <w:rPr>
          <w:rFonts w:cs="Times New Roman"/>
        </w:rPr>
        <w:t xml:space="preserve">time and returned to House with </w:t>
      </w:r>
      <w:r w:rsidRPr="0061079A">
        <w:rPr>
          <w:rFonts w:cs="Times New Roman"/>
        </w:rPr>
        <w:t>amendments (</w:t>
      </w:r>
      <w:hyperlink r:id="rId21" w:history="1">
        <w:r w:rsidRPr="002369F7">
          <w:rPr>
            <w:rStyle w:val="Hyperlink"/>
            <w:rFonts w:cs="Times New Roman"/>
          </w:rPr>
          <w:t>Senate Journal</w:t>
        </w:r>
        <w:r w:rsidRPr="002369F7">
          <w:rPr>
            <w:rStyle w:val="Hyperlink"/>
            <w:rFonts w:cs="Times New Roman"/>
          </w:rPr>
          <w:noBreakHyphen/>
          <w:t>page 38</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61079A">
        <w:rPr>
          <w:rFonts w:cs="Times New Roman"/>
        </w:rPr>
        <w:t>Concurred i</w:t>
      </w:r>
      <w:r>
        <w:rPr>
          <w:rFonts w:cs="Times New Roman"/>
        </w:rPr>
        <w:t xml:space="preserve">n Senate amendment and enrolled </w:t>
      </w:r>
      <w:r w:rsidRPr="0061079A">
        <w:rPr>
          <w:rFonts w:cs="Times New Roman"/>
        </w:rPr>
        <w:t>(</w:t>
      </w:r>
      <w:hyperlink r:id="rId22" w:history="1">
        <w:r w:rsidRPr="002369F7">
          <w:rPr>
            <w:rStyle w:val="Hyperlink"/>
            <w:rFonts w:cs="Times New Roman"/>
          </w:rPr>
          <w:t>House Journal</w:t>
        </w:r>
        <w:r w:rsidRPr="002369F7">
          <w:rPr>
            <w:rStyle w:val="Hyperlink"/>
            <w:rFonts w:cs="Times New Roman"/>
          </w:rPr>
          <w:noBreakHyphen/>
          <w:t>page 43</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61079A">
        <w:rPr>
          <w:rFonts w:cs="Times New Roman"/>
        </w:rPr>
        <w:t>Roll call Yeas</w:t>
      </w:r>
      <w:r>
        <w:rPr>
          <w:rFonts w:cs="Times New Roman"/>
        </w:rPr>
        <w:noBreakHyphen/>
      </w:r>
      <w:r w:rsidRPr="0061079A">
        <w:rPr>
          <w:rFonts w:cs="Times New Roman"/>
        </w:rPr>
        <w:t>92  Nays</w:t>
      </w:r>
      <w:r>
        <w:rPr>
          <w:rFonts w:cs="Times New Roman"/>
        </w:rPr>
        <w:noBreakHyphen/>
      </w:r>
      <w:r w:rsidRPr="0061079A">
        <w:rPr>
          <w:rFonts w:cs="Times New Roman"/>
        </w:rPr>
        <w:t>0 (</w:t>
      </w:r>
      <w:hyperlink r:id="rId23" w:history="1">
        <w:r w:rsidRPr="002369F7">
          <w:rPr>
            <w:rStyle w:val="Hyperlink"/>
            <w:rFonts w:cs="Times New Roman"/>
          </w:rPr>
          <w:t>House Journal</w:t>
        </w:r>
        <w:r w:rsidRPr="002369F7">
          <w:rPr>
            <w:rStyle w:val="Hyperlink"/>
            <w:rFonts w:cs="Times New Roman"/>
          </w:rPr>
          <w:noBreakHyphen/>
          <w:t>page 43</w:t>
        </w:r>
      </w:hyperlink>
      <w:r w:rsidRPr="0061079A">
        <w:rPr>
          <w:rFonts w:cs="Times New Roman"/>
        </w:rPr>
        <w:t>)</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61079A">
        <w:rPr>
          <w:rFonts w:cs="Times New Roman"/>
        </w:rPr>
        <w:t>Ratified R 252</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61079A">
        <w:rPr>
          <w:rFonts w:cs="Times New Roman"/>
        </w:rPr>
        <w:t>Signed By Governor</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61079A">
        <w:rPr>
          <w:rFonts w:cs="Times New Roman"/>
        </w:rPr>
        <w:t>Effective date 06/03/16</w:t>
      </w:r>
    </w:p>
    <w:p w:rsidR="00765461" w:rsidRDefault="00765461" w:rsidP="00765461">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61079A">
        <w:rPr>
          <w:rFonts w:cs="Times New Roman"/>
        </w:rPr>
        <w:t>Act No</w:t>
      </w:r>
      <w:r>
        <w:rPr>
          <w:rFonts w:cs="Times New Roman"/>
        </w:rPr>
        <w:t>. </w:t>
      </w:r>
      <w:r w:rsidRPr="0061079A">
        <w:rPr>
          <w:rFonts w:cs="Times New Roman"/>
        </w:rPr>
        <w:t>221</w:t>
      </w:r>
    </w:p>
    <w:p w:rsidR="00765461" w:rsidRDefault="00765461" w:rsidP="00765461">
      <w:pPr>
        <w:widowControl w:val="0"/>
        <w:tabs>
          <w:tab w:val="right" w:pos="1008"/>
          <w:tab w:val="left" w:pos="1152"/>
          <w:tab w:val="left" w:pos="1872"/>
          <w:tab w:val="left" w:pos="9187"/>
        </w:tabs>
        <w:ind w:left="2088" w:hanging="2088"/>
        <w:rPr>
          <w:rFonts w:cs="Times New Roman"/>
        </w:rPr>
      </w:pPr>
    </w:p>
    <w:p w:rsidR="00162598" w:rsidRPr="00162598" w:rsidRDefault="00162598" w:rsidP="00162598">
      <w:pPr>
        <w:widowControl w:val="0"/>
        <w:tabs>
          <w:tab w:val="right" w:pos="1008"/>
          <w:tab w:val="left" w:pos="1152"/>
          <w:tab w:val="left" w:pos="1872"/>
          <w:tab w:val="left" w:pos="9187"/>
        </w:tabs>
        <w:ind w:left="2088" w:hanging="2088"/>
        <w:rPr>
          <w:rFonts w:eastAsia="Times New Roman" w:cs="Times New Roman"/>
          <w:szCs w:val="20"/>
        </w:rPr>
      </w:pPr>
      <w:r w:rsidRPr="00162598">
        <w:rPr>
          <w:rFonts w:eastAsia="Times New Roman" w:cs="Times New Roman"/>
          <w:szCs w:val="20"/>
        </w:rPr>
        <w:t xml:space="preserve">View the latest </w:t>
      </w:r>
      <w:hyperlink r:id="rId24" w:history="1">
        <w:r w:rsidRPr="00162598">
          <w:rPr>
            <w:rFonts w:eastAsia="Times New Roman" w:cs="Times New Roman"/>
            <w:color w:val="0000FF" w:themeColor="hyperlink"/>
            <w:szCs w:val="20"/>
            <w:u w:val="single"/>
          </w:rPr>
          <w:t>legislative information</w:t>
        </w:r>
      </w:hyperlink>
      <w:r w:rsidRPr="00162598">
        <w:rPr>
          <w:rFonts w:eastAsia="Times New Roman" w:cs="Times New Roman"/>
          <w:szCs w:val="20"/>
        </w:rPr>
        <w:t xml:space="preserve"> at the website</w:t>
      </w:r>
    </w:p>
    <w:p w:rsidR="00162598" w:rsidRPr="00162598" w:rsidRDefault="00162598" w:rsidP="00162598">
      <w:pPr>
        <w:widowControl w:val="0"/>
        <w:tabs>
          <w:tab w:val="right" w:pos="1008"/>
          <w:tab w:val="left" w:pos="1152"/>
          <w:tab w:val="left" w:pos="1872"/>
          <w:tab w:val="left" w:pos="9187"/>
        </w:tabs>
        <w:ind w:left="2088" w:hanging="2088"/>
        <w:rPr>
          <w:rFonts w:eastAsia="Times New Roman" w:cs="Times New Roman"/>
          <w:szCs w:val="20"/>
        </w:rPr>
      </w:pPr>
    </w:p>
    <w:p w:rsidR="00162598" w:rsidRPr="00162598" w:rsidRDefault="00162598" w:rsidP="00162598">
      <w:pPr>
        <w:widowControl w:val="0"/>
        <w:tabs>
          <w:tab w:val="right" w:pos="1008"/>
          <w:tab w:val="left" w:pos="1152"/>
          <w:tab w:val="left" w:pos="1872"/>
          <w:tab w:val="left" w:pos="9187"/>
        </w:tabs>
        <w:ind w:left="2088" w:hanging="2088"/>
        <w:rPr>
          <w:rFonts w:eastAsia="Times New Roman" w:cs="Times New Roman"/>
          <w:szCs w:val="20"/>
        </w:rPr>
      </w:pP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2598">
        <w:rPr>
          <w:rFonts w:eastAsia="Times New Roman" w:cs="Times New Roman"/>
          <w:b/>
          <w:szCs w:val="20"/>
        </w:rPr>
        <w:t>VERSIONS OF THIS BILL</w:t>
      </w:r>
    </w:p>
    <w:p w:rsidR="00162598" w:rsidRPr="00162598" w:rsidRDefault="00162598"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2598" w:rsidRPr="00162598" w:rsidRDefault="002369F7" w:rsidP="00162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162598" w:rsidRPr="00162598">
          <w:rPr>
            <w:rFonts w:eastAsia="Times New Roman" w:cs="Times New Roman"/>
            <w:color w:val="0000FF" w:themeColor="hyperlink"/>
            <w:szCs w:val="20"/>
            <w:u w:val="single"/>
          </w:rPr>
          <w:t>2/11/2015</w:t>
        </w:r>
      </w:hyperlink>
    </w:p>
    <w:p w:rsidR="00162598" w:rsidRPr="00162598" w:rsidRDefault="002369F7" w:rsidP="001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62598" w:rsidRPr="00162598">
          <w:rPr>
            <w:rFonts w:eastAsia="Times New Roman" w:cs="Times New Roman"/>
            <w:color w:val="0000FF" w:themeColor="hyperlink"/>
            <w:szCs w:val="20"/>
            <w:u w:val="single"/>
          </w:rPr>
          <w:t>4/23/2015</w:t>
        </w:r>
      </w:hyperlink>
    </w:p>
    <w:p w:rsidR="00162598" w:rsidRPr="00162598" w:rsidRDefault="002369F7" w:rsidP="001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62598" w:rsidRPr="00162598">
          <w:rPr>
            <w:rFonts w:eastAsia="Times New Roman" w:cs="Times New Roman"/>
            <w:color w:val="0000FF" w:themeColor="hyperlink"/>
            <w:szCs w:val="20"/>
            <w:u w:val="single"/>
          </w:rPr>
          <w:t>4/28/2015</w:t>
        </w:r>
      </w:hyperlink>
    </w:p>
    <w:p w:rsidR="00162598" w:rsidRPr="00162598" w:rsidRDefault="002369F7" w:rsidP="001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62598" w:rsidRPr="00162598">
          <w:rPr>
            <w:rFonts w:eastAsia="Times New Roman" w:cs="Times New Roman"/>
            <w:color w:val="0000FF" w:themeColor="hyperlink"/>
            <w:szCs w:val="20"/>
            <w:u w:val="single"/>
          </w:rPr>
          <w:t>5/5/2015</w:t>
        </w:r>
      </w:hyperlink>
    </w:p>
    <w:p w:rsidR="00162598" w:rsidRPr="00162598" w:rsidRDefault="002369F7" w:rsidP="001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62598" w:rsidRPr="00162598">
          <w:rPr>
            <w:rFonts w:eastAsia="Times New Roman" w:cs="Times New Roman"/>
            <w:color w:val="0000FF" w:themeColor="hyperlink"/>
            <w:szCs w:val="20"/>
            <w:u w:val="single"/>
          </w:rPr>
          <w:t>5/11/2016</w:t>
        </w:r>
      </w:hyperlink>
    </w:p>
    <w:p w:rsidR="00162598" w:rsidRPr="00162598" w:rsidRDefault="002369F7" w:rsidP="001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62598" w:rsidRPr="00162598">
          <w:rPr>
            <w:rFonts w:eastAsia="Times New Roman" w:cs="Times New Roman"/>
            <w:color w:val="0000FF" w:themeColor="hyperlink"/>
            <w:szCs w:val="20"/>
            <w:u w:val="single"/>
          </w:rPr>
          <w:t>5/12/2016</w:t>
        </w:r>
      </w:hyperlink>
    </w:p>
    <w:p w:rsidR="00162598" w:rsidRPr="00162598" w:rsidRDefault="00162598" w:rsidP="001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62598" w:rsidRDefault="00162598" w:rsidP="00162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62598" w:rsidSect="00162598">
          <w:pgSz w:w="12240" w:h="15840" w:code="1"/>
          <w:pgMar w:top="1080" w:right="1440" w:bottom="1080" w:left="1440" w:header="720" w:footer="720" w:gutter="0"/>
          <w:pgNumType w:start="1"/>
          <w:cols w:space="720"/>
          <w:noEndnote/>
          <w:docGrid w:linePitch="360"/>
        </w:sectPr>
      </w:pP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(A221, R252, H3560)</w:t>
      </w:r>
    </w:p>
    <w:p w:rsidR="00C527C8" w:rsidRPr="008836A5"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527C8" w:rsidRPr="0016259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62598">
        <w:rPr>
          <w:rFonts w:cs="Times New Roman"/>
          <w:b/>
          <w:color w:val="000000" w:themeColor="text1"/>
          <w:szCs w:val="36"/>
        </w:rPr>
        <w:t xml:space="preserve">AN ACT </w:t>
      </w:r>
      <w:bookmarkStart w:id="1" w:name="titleend"/>
      <w:bookmarkEnd w:id="1"/>
      <w:r w:rsidRPr="00162598">
        <w:rPr>
          <w:rFonts w:cs="Times New Roman"/>
          <w:b/>
          <w:color w:val="000000" w:themeColor="text1"/>
          <w:u w:color="000000" w:themeColor="text1"/>
        </w:rPr>
        <w:t>TO AMEND SECTION 59</w:t>
      </w:r>
      <w:r w:rsidRPr="00162598">
        <w:rPr>
          <w:rFonts w:cs="Times New Roman"/>
          <w:b/>
          <w:color w:val="000000" w:themeColor="text1"/>
          <w:u w:color="000000" w:themeColor="text1"/>
        </w:rPr>
        <w:noBreakHyphen/>
        <w:t>25</w:t>
      </w:r>
      <w:r w:rsidRPr="00162598">
        <w:rPr>
          <w:rFonts w:cs="Times New Roman"/>
          <w:b/>
          <w:color w:val="000000" w:themeColor="text1"/>
          <w:u w:color="000000" w:themeColor="text1"/>
        </w:rPr>
        <w:noBreakHyphen/>
        <w:t>410, CODE OF LAWS OF SOUTH CAROLINA, 1976, RELATING TO THE ANNUAL DEADLINE BY WHICH PUBLIC SCHOOL DISTRICTS MUST NOTIFY TEACHERS OF THEIR EMPLOYMENT STATUS FOR THE ENSUING YEAR, SO AS TO EXTEND THE DEADLINE TO MAY FIRST; TO AMEND SECTION 59</w:t>
      </w:r>
      <w:r w:rsidRPr="00162598">
        <w:rPr>
          <w:rFonts w:cs="Times New Roman"/>
          <w:b/>
          <w:color w:val="000000" w:themeColor="text1"/>
          <w:u w:color="000000" w:themeColor="text1"/>
        </w:rPr>
        <w:noBreakHyphen/>
        <w:t>25</w:t>
      </w:r>
      <w:r w:rsidRPr="00162598">
        <w:rPr>
          <w:rFonts w:cs="Times New Roman"/>
          <w:b/>
          <w:color w:val="000000" w:themeColor="text1"/>
          <w:u w:color="000000" w:themeColor="text1"/>
        </w:rPr>
        <w:noBreakHyphen/>
        <w:t>420, RELATING TO THE ANNUAL DEADLINE BY WHICH TEACHERS MUST NOTIFY PUBLIC SCHOOL DISTRICTS OF THEIR ACCEPTANCE OF TEACHING CONTRACTS OFFERED BY THE DISTRICT, SO AS TO EXTEND THE DEADLINE TO MAY ELEVENTH; TO AMEND SECTION 59</w:t>
      </w:r>
      <w:r w:rsidRPr="00162598">
        <w:rPr>
          <w:rFonts w:cs="Times New Roman"/>
          <w:b/>
          <w:color w:val="000000" w:themeColor="text1"/>
          <w:u w:color="000000" w:themeColor="text1"/>
        </w:rPr>
        <w:noBreakHyphen/>
        <w:t>25</w:t>
      </w:r>
      <w:r w:rsidRPr="00162598">
        <w:rPr>
          <w:rFonts w:cs="Times New Roman"/>
          <w:b/>
          <w:color w:val="000000" w:themeColor="text1"/>
          <w:u w:color="000000" w:themeColor="text1"/>
        </w:rPr>
        <w:noBreakHyphen/>
        <w:t>460, RELATING TO NOTICES OF DISMISSAL AND THE CONDUCT OF RELATED PROCEEDINGS, SO AS TO PROVIDE THE HEARINGS ARE EVIDENTIARY HEARINGS, TO PROVIDE THE HEARINGS MAY BE CONDUCTED BY SCHOOL BOARDS OR THEIR DESIGNEES, TO  PROVIDE REQUIRED QUALIFICATIONS FOR BOARD DESIGNEES, TO PROVIDE FOR PRELIMINARY MEETINGS AT WHICH PARTIES AND THEIR REPRESENTATIVES MAY DISCUSS ALTERNATIVE RESOLUTIONS, TO REVISE THE PROCESS FOR DISTRICTS TO ADOPT CERTAIN POLICIES CONCERNING THEIR DISMISSAL PROCEDURES, AND TO PROVIDE MISCELLANEOUS REQUIREMENTS CONCERNING THE CONDUCT OF HEARINGS AND RELATED MATTERS; TO AMEND SECTION 59</w:t>
      </w:r>
      <w:r w:rsidRPr="00162598">
        <w:rPr>
          <w:rFonts w:cs="Times New Roman"/>
          <w:b/>
          <w:color w:val="000000" w:themeColor="text1"/>
          <w:u w:color="000000" w:themeColor="text1"/>
        </w:rPr>
        <w:noBreakHyphen/>
        <w:t>25</w:t>
      </w:r>
      <w:r w:rsidRPr="00162598">
        <w:rPr>
          <w:rFonts w:cs="Times New Roman"/>
          <w:b/>
          <w:color w:val="000000" w:themeColor="text1"/>
          <w:u w:color="000000" w:themeColor="text1"/>
        </w:rPr>
        <w:noBreakHyphen/>
        <w:t>470, RELATING TO THE SCHEDULING OF TEACHER DISMISSAL HEARINGS, SO AS TO MAKE CONFORMING CHANGES, TO EXTEND THE PERIOD FOR SCHEDULING HEARINGS TO FORTY</w:t>
      </w:r>
      <w:r w:rsidRPr="00162598">
        <w:rPr>
          <w:rFonts w:cs="Times New Roman"/>
          <w:b/>
          <w:color w:val="000000" w:themeColor="text1"/>
          <w:u w:color="000000" w:themeColor="text1"/>
        </w:rPr>
        <w:noBreakHyphen/>
        <w:t>FIVE DAYS, AND TO REVISE PROCEDURES CONCERNING THE CONDUCT OF HEARINGS; TO AMEND SECTION 59</w:t>
      </w:r>
      <w:r w:rsidRPr="00162598">
        <w:rPr>
          <w:rFonts w:cs="Times New Roman"/>
          <w:b/>
          <w:color w:val="000000" w:themeColor="text1"/>
          <w:u w:color="000000" w:themeColor="text1"/>
        </w:rPr>
        <w:noBreakHyphen/>
        <w:t>25</w:t>
      </w:r>
      <w:r w:rsidRPr="00162598">
        <w:rPr>
          <w:rFonts w:cs="Times New Roman"/>
          <w:b/>
          <w:color w:val="000000" w:themeColor="text1"/>
          <w:u w:color="000000" w:themeColor="text1"/>
        </w:rPr>
        <w:noBreakHyphen/>
        <w:t>480, RELATING TO APPEALS OF BOARD DECISIONS, SO AS TO CORRECT ARCHAIC LANGUAGE; AND TO AMEND SECTION 59</w:t>
      </w:r>
      <w:r w:rsidRPr="00162598">
        <w:rPr>
          <w:rFonts w:cs="Times New Roman"/>
          <w:b/>
          <w:color w:val="000000" w:themeColor="text1"/>
          <w:u w:color="000000" w:themeColor="text1"/>
        </w:rPr>
        <w:noBreakHyphen/>
        <w:t>25</w:t>
      </w:r>
      <w:r w:rsidRPr="00162598">
        <w:rPr>
          <w:rFonts w:cs="Times New Roman"/>
          <w:b/>
          <w:color w:val="000000" w:themeColor="text1"/>
          <w:u w:color="000000" w:themeColor="text1"/>
        </w:rPr>
        <w:noBreakHyphen/>
        <w:t>490, RELATING TO DEPOSITIONS IN TEACHER DISMISSAL HEARINGS, SO AS TO CORRECT ARCHAIC LANGUAGE.</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Be it enacted by the General Assembly of the State of South Carolina:</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461EC7"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Annual teacher employment notification deadline extended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SECTION</w:t>
      </w:r>
      <w:r w:rsidRPr="00D571F9">
        <w:rPr>
          <w:rFonts w:cs="Times New Roman"/>
        </w:rPr>
        <w:tab/>
        <w:t>1.</w:t>
      </w: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410 of the 1976 Code is amended to read: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410.</w:t>
      </w:r>
      <w:r w:rsidRPr="00D571F9">
        <w:rPr>
          <w:rFonts w:cs="Times New Roman"/>
        </w:rPr>
        <w:tab/>
        <w:t>(A)</w:t>
      </w:r>
      <w:r w:rsidRPr="00D571F9">
        <w:rPr>
          <w:rFonts w:cs="Times New Roman"/>
        </w:rPr>
        <w:tab/>
        <w:t>The boards of trustees of the several school districts annually before May first shall decide and notify, in writing, a teacher, as defined in Section 59</w:t>
      </w:r>
      <w:r>
        <w:rPr>
          <w:rFonts w:cs="Times New Roman"/>
        </w:rPr>
        <w:noBreakHyphen/>
      </w:r>
      <w:r w:rsidRPr="00D571F9">
        <w:rPr>
          <w:rFonts w:cs="Times New Roman"/>
        </w:rPr>
        <w:t>1</w:t>
      </w:r>
      <w:r>
        <w:rPr>
          <w:rFonts w:cs="Times New Roman"/>
        </w:rPr>
        <w:noBreakHyphen/>
      </w:r>
      <w:r w:rsidRPr="00D571F9">
        <w:rPr>
          <w:rFonts w:cs="Times New Roman"/>
        </w:rPr>
        <w:t>130, whom the district employs concerning his reemployment for the ensuing year. If the superintendent fails to notify a teacher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 Notice of the superintendent</w:t>
      </w:r>
      <w:r w:rsidRPr="009F627F">
        <w:rPr>
          <w:rFonts w:cs="Times New Roman"/>
        </w:rPr>
        <w:t>’</w:t>
      </w:r>
      <w:r w:rsidRPr="00D571F9">
        <w:rPr>
          <w:rFonts w:cs="Times New Roman"/>
        </w:rPr>
        <w:t>s recommendation not to renew an employment contract must be given in writing before May first.</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(B)</w:t>
      </w:r>
      <w:r w:rsidRPr="00D571F9">
        <w:rPr>
          <w:rFonts w:cs="Times New Roman"/>
        </w:rPr>
        <w:tab/>
        <w:t>On or before August fifteenth, the superintendent, principal, where applicable, or supervisor shall notify the teacher of his tentative assignment for the ensuing school year.</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(C)</w:t>
      </w:r>
      <w:r w:rsidRPr="00D571F9">
        <w:rPr>
          <w:rFonts w:cs="Times New Roman"/>
        </w:rPr>
        <w:tab/>
        <w:t>This section does not apply to a teacher whose contract of employment or dismissal is under appeal under Section 59</w:t>
      </w:r>
      <w:r>
        <w:rPr>
          <w:rFonts w:cs="Times New Roman"/>
        </w:rPr>
        <w:noBreakHyphen/>
      </w:r>
      <w:r w:rsidRPr="00D571F9">
        <w:rPr>
          <w:rFonts w:cs="Times New Roman"/>
        </w:rPr>
        <w:t>25</w:t>
      </w:r>
      <w:r>
        <w:rPr>
          <w:rFonts w:cs="Times New Roman"/>
        </w:rPr>
        <w:noBreakHyphen/>
      </w:r>
      <w:r w:rsidRPr="00D571F9">
        <w:rPr>
          <w:rFonts w:cs="Times New Roman"/>
        </w:rPr>
        <w:t>450.</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(D)</w:t>
      </w:r>
      <w:r w:rsidRPr="00D571F9">
        <w:rPr>
          <w:rFonts w:cs="Times New Roman"/>
        </w:rPr>
        <w:tab/>
        <w:t xml:space="preserve">For purposes of this article, </w:t>
      </w:r>
      <w:r w:rsidRPr="009F627F">
        <w:rPr>
          <w:rFonts w:cs="Times New Roman"/>
        </w:rPr>
        <w:t>‘</w:t>
      </w:r>
      <w:r w:rsidRPr="00D571F9">
        <w:rPr>
          <w:rFonts w:cs="Times New Roman"/>
        </w:rPr>
        <w:t>teacher</w:t>
      </w:r>
      <w:r w:rsidRPr="009F627F">
        <w:rPr>
          <w:rFonts w:cs="Times New Roman"/>
        </w:rPr>
        <w:t>’</w:t>
      </w:r>
      <w:r w:rsidRPr="00D571F9">
        <w:rPr>
          <w:rFonts w:cs="Times New Roman"/>
        </w:rPr>
        <w:t xml:space="preserve"> means an employee possessing a professional certificate issued by the State Department of Education, except an employee working pursuant to a multiyear contract.”</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461EC7"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Annual teacher acceptance of employment offer deadline extended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SECTION</w:t>
      </w:r>
      <w:r w:rsidRPr="00D571F9">
        <w:rPr>
          <w:rFonts w:cs="Times New Roman"/>
        </w:rPr>
        <w:tab/>
        <w:t>2.</w:t>
      </w: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420 of the 1976 Code is amended to read: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420.</w:t>
      </w:r>
      <w:r w:rsidRPr="00D571F9">
        <w:rPr>
          <w:rFonts w:cs="Times New Roman"/>
        </w:rPr>
        <w:tab/>
        <w:t>(A)</w:t>
      </w:r>
      <w:r w:rsidRPr="00D571F9">
        <w:rPr>
          <w:rFonts w:cs="Times New Roman"/>
        </w:rPr>
        <w:tab/>
        <w:t>A teacher who is reemployed by written notification pursuant to Section 59</w:t>
      </w:r>
      <w:r>
        <w:rPr>
          <w:rFonts w:cs="Times New Roman"/>
        </w:rPr>
        <w:noBreakHyphen/>
      </w:r>
      <w:r w:rsidRPr="00D571F9">
        <w:rPr>
          <w:rFonts w:cs="Times New Roman"/>
        </w:rPr>
        <w:t>25</w:t>
      </w:r>
      <w:r>
        <w:rPr>
          <w:rFonts w:cs="Times New Roman"/>
        </w:rPr>
        <w:noBreakHyphen/>
      </w:r>
      <w:r w:rsidRPr="00D571F9">
        <w:rPr>
          <w:rFonts w:cs="Times New Roman"/>
        </w:rPr>
        <w:t>410 shall before May eleventh notify the board of trustees in writing of his acceptance of the contract. Failure on the part of the teacher to notify the board of acceptance within the specified time limit is conclusive evidence of the teacher</w:t>
      </w:r>
      <w:r w:rsidRPr="009F627F">
        <w:rPr>
          <w:rFonts w:cs="Times New Roman"/>
        </w:rPr>
        <w:t>’</w:t>
      </w:r>
      <w:r w:rsidRPr="00D571F9">
        <w:rPr>
          <w:rFonts w:cs="Times New Roman"/>
        </w:rPr>
        <w:t>s rejection of the contract.</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(B)</w:t>
      </w:r>
      <w:r w:rsidRPr="00D571F9">
        <w:rPr>
          <w:rFonts w:cs="Times New Roman"/>
        </w:rPr>
        <w:tab/>
        <w:t xml:space="preserve"> A teacher, receiving a notice that he will not be reemployed for the ensuing year, has the same notice and opportunity for a hearing provided in this article for a teacher dismissed for cause during the school year.”</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461EC7"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Dismissal process revised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SECTION</w:t>
      </w:r>
      <w:r w:rsidRPr="00D571F9">
        <w:rPr>
          <w:rFonts w:cs="Times New Roman"/>
        </w:rPr>
        <w:tab/>
        <w:t>3.</w:t>
      </w: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460 of the 1976 Code is amended to read: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460.</w:t>
      </w:r>
      <w:r w:rsidRPr="00D571F9">
        <w:rPr>
          <w:rFonts w:cs="Times New Roman"/>
        </w:rPr>
        <w:tab/>
        <w:t>(A)</w:t>
      </w:r>
      <w:r w:rsidRPr="00D571F9">
        <w:rPr>
          <w:rFonts w:cs="Times New Roman"/>
        </w:rPr>
        <w:tab/>
        <w:t>A teacher may not be dismissed unless written notice specifying the cause of dismissal first is given</w:t>
      </w:r>
      <w:r>
        <w:rPr>
          <w:rFonts w:cs="Times New Roman"/>
        </w:rPr>
        <w:t xml:space="preserve"> to</w:t>
      </w:r>
      <w:r w:rsidRPr="00D571F9">
        <w:rPr>
          <w:rFonts w:cs="Times New Roman"/>
        </w:rPr>
        <w:t xml:space="preserve"> the teacher by the superintendent and the teacher is given an opportunit</w:t>
      </w:r>
      <w:r>
        <w:rPr>
          <w:rFonts w:cs="Times New Roman"/>
        </w:rPr>
        <w:t>y for an evidentiary hearing</w:t>
      </w:r>
      <w:r w:rsidRPr="00D571F9">
        <w:rPr>
          <w:rFonts w:cs="Times New Roman"/>
        </w:rPr>
        <w:t>. The superintendent or his designee may meet with the teacher before issuing a notice of dismissal to discuss alternative resolutions. The parties attending this meeting must have the option of having a representative present.  This written notice must include the fact that a hearing before the board or its designee is available to the teacher upon request if the request is made in writing within fifteen days as provided in Section 59</w:t>
      </w:r>
      <w:r>
        <w:rPr>
          <w:rFonts w:cs="Times New Roman"/>
        </w:rPr>
        <w:noBreakHyphen/>
      </w:r>
      <w:r w:rsidRPr="00D571F9">
        <w:rPr>
          <w:rFonts w:cs="Times New Roman"/>
        </w:rPr>
        <w:t>25</w:t>
      </w:r>
      <w:r>
        <w:rPr>
          <w:rFonts w:cs="Times New Roman"/>
        </w:rPr>
        <w:noBreakHyphen/>
      </w:r>
      <w:r w:rsidRPr="00D571F9">
        <w:rPr>
          <w:rFonts w:cs="Times New Roman"/>
        </w:rPr>
        <w:t>470. Any such hearing must be public unless the teacher requests in writing that it be private.  A board that chooses to delegate the evidentiary hearing to one or more designees, as provided in this section, shall indicate in board policy that it engages in this practice.  The hearing process becomes effective when the board adopts the policy, and must be communicated to all affected employees within fifteen days.  A subsequent change only may be made pursuant to the board policy revision process.</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(B)(1)</w:t>
      </w:r>
      <w:r w:rsidRPr="00D571F9">
        <w:rPr>
          <w:rFonts w:cs="Times New Roman"/>
        </w:rPr>
        <w:tab/>
        <w:t>If the board chooses to delegate the evidentiary hearing to a designee, the designee must be:</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r>
      <w:r w:rsidRPr="00D571F9">
        <w:rPr>
          <w:rFonts w:cs="Times New Roman"/>
        </w:rPr>
        <w:tab/>
      </w:r>
      <w:r w:rsidRPr="00D571F9">
        <w:rPr>
          <w:rFonts w:cs="Times New Roman"/>
        </w:rPr>
        <w:tab/>
        <w:t>(a)</w:t>
      </w:r>
      <w:r w:rsidRPr="00D571F9">
        <w:rPr>
          <w:rFonts w:cs="Times New Roman"/>
        </w:rPr>
        <w:tab/>
        <w:t>an attorney licensed to practice law in this State;</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r>
      <w:r w:rsidRPr="00D571F9">
        <w:rPr>
          <w:rFonts w:cs="Times New Roman"/>
        </w:rPr>
        <w:tab/>
      </w:r>
      <w:r w:rsidRPr="00D571F9">
        <w:rPr>
          <w:rFonts w:cs="Times New Roman"/>
        </w:rPr>
        <w:tab/>
        <w:t>(b)</w:t>
      </w:r>
      <w:r w:rsidRPr="00D571F9">
        <w:rPr>
          <w:rFonts w:cs="Times New Roman"/>
        </w:rPr>
        <w:tab/>
        <w:t>certified by the South Carolina Supreme Court as a mediator or arbitrator; and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r>
      <w:r w:rsidRPr="00D571F9">
        <w:rPr>
          <w:rFonts w:cs="Times New Roman"/>
        </w:rPr>
        <w:tab/>
      </w:r>
      <w:r w:rsidRPr="00D571F9">
        <w:rPr>
          <w:rFonts w:cs="Times New Roman"/>
        </w:rPr>
        <w:tab/>
        <w:t>(c)</w:t>
      </w:r>
      <w:r w:rsidRPr="00D571F9">
        <w:rPr>
          <w:rFonts w:cs="Times New Roman"/>
        </w:rPr>
        <w:tab/>
        <w:t>designated by the board to hear all evidentiary hearings in the district for the school year, except when:</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r>
      <w:r w:rsidRPr="00D571F9">
        <w:rPr>
          <w:rFonts w:cs="Times New Roman"/>
        </w:rPr>
        <w:tab/>
      </w:r>
      <w:r w:rsidRPr="00D571F9">
        <w:rPr>
          <w:rFonts w:cs="Times New Roman"/>
        </w:rPr>
        <w:tab/>
      </w:r>
      <w:r w:rsidRPr="00D571F9">
        <w:rPr>
          <w:rFonts w:cs="Times New Roman"/>
        </w:rPr>
        <w:tab/>
        <w:t>(i)</w:t>
      </w:r>
      <w:r w:rsidRPr="00D571F9">
        <w:rPr>
          <w:rFonts w:cs="Times New Roman"/>
        </w:rPr>
        <w:tab/>
      </w:r>
      <w:r w:rsidRPr="00D571F9">
        <w:rPr>
          <w:rFonts w:cs="Times New Roman"/>
        </w:rPr>
        <w:tab/>
        <w:t>both parties consent to use an alternate hearing officer; or</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r>
      <w:r w:rsidRPr="00D571F9">
        <w:rPr>
          <w:rFonts w:cs="Times New Roman"/>
        </w:rPr>
        <w:tab/>
      </w:r>
      <w:r w:rsidRPr="00D571F9">
        <w:rPr>
          <w:rFonts w:cs="Times New Roman"/>
        </w:rPr>
        <w:tab/>
      </w:r>
      <w:r w:rsidRPr="00D571F9">
        <w:rPr>
          <w:rFonts w:cs="Times New Roman"/>
        </w:rPr>
        <w:tab/>
        <w:t>(ii)</w:t>
      </w:r>
      <w:r w:rsidRPr="00D571F9">
        <w:rPr>
          <w:rFonts w:cs="Times New Roman"/>
        </w:rPr>
        <w:tab/>
        <w:t>the district uses more than one designee, in which case the parties may by mutual consent select one of these designees for their hearing or, if they fail to reach such an agreement, the board randomly shall select one of its designees for the hearing.</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r>
      <w:r w:rsidRPr="00D571F9">
        <w:rPr>
          <w:rFonts w:cs="Times New Roman"/>
        </w:rPr>
        <w:tab/>
        <w:t>(2)</w:t>
      </w:r>
      <w:r w:rsidRPr="00D571F9">
        <w:rPr>
          <w:rFonts w:cs="Times New Roman"/>
        </w:rPr>
        <w:tab/>
        <w:t>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of suspension or dismissal within thirty days.  In the interim, the board may conduct a hearing on the order to consider any written responses from the superintendent and teacher, but this hearing may not operate to extend the thirty</w:t>
      </w:r>
      <w:r>
        <w:rPr>
          <w:rFonts w:cs="Times New Roman"/>
        </w:rPr>
        <w:noBreakHyphen/>
      </w:r>
      <w:r w:rsidRPr="00D571F9">
        <w:rPr>
          <w:rFonts w:cs="Times New Roman"/>
        </w:rPr>
        <w:t>day limit in which the board shall issue its decision affirming or withdrawing the notice of suspension or dismissal.  The board retains final decision</w:t>
      </w:r>
      <w:r>
        <w:rPr>
          <w:rFonts w:cs="Times New Roman"/>
        </w:rPr>
        <w:noBreakHyphen/>
      </w:r>
      <w:r w:rsidRPr="00D571F9">
        <w:rPr>
          <w:rFonts w:cs="Times New Roman"/>
        </w:rPr>
        <w:t>making authority regarding the teacher dismissal or suspension recommendation based on its consideration of the record, the report and recommendation, and any written submission of the superintendent and teacher.</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(C)</w:t>
      </w:r>
      <w:r w:rsidRPr="00D571F9">
        <w:rPr>
          <w:rFonts w:cs="Times New Roman"/>
        </w:rPr>
        <w:tab/>
        <w:t>If the board holds the evidentiary hearing, the board shall issue its decision within the thirty days after the hearing.  This decision must be in writing and must include findings of facts and conclusions of law.</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(D)</w:t>
      </w:r>
      <w:r w:rsidRPr="00D571F9">
        <w:rPr>
          <w:rFonts w:cs="Times New Roman"/>
        </w:rPr>
        <w:tab/>
        <w:t>The board shall determine if the evidence shows good and just cause for the notice of suspension or dismissal, and accordingly shall render a decision to affirm or withdraw the notice of suspension or dismissal.</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(E)</w:t>
      </w:r>
      <w:r w:rsidRPr="00D571F9">
        <w:rPr>
          <w:rFonts w:cs="Times New Roman"/>
        </w:rPr>
        <w:tab/>
        <w:t xml:space="preserve">The District Board of Trustees as provided in subsection (C), or its designee, as provided in subsection (B), may issue subpoenas requiring the attendance of witnesses at the hearing and, at the request of the teacher against whom a charge is made, shall issue these subpoenas, but it may limit the number of these witnesses to ten.  Testimony at a hearing must be taken under oath.  A member of the board, or its designee, may administer oaths to witnesses. The board, or its designee, shall cause a record of the proceedings to be kept and shall employ a competent reporter to take stenographic or stenotype notes of all testimony. </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(F)</w:t>
      </w:r>
      <w:r w:rsidRPr="00D571F9">
        <w:rPr>
          <w:rFonts w:cs="Times New Roman"/>
        </w:rPr>
        <w:tab/>
        <w:t>If the board</w:t>
      </w:r>
      <w:r w:rsidRPr="009F627F">
        <w:rPr>
          <w:rFonts w:cs="Times New Roman"/>
        </w:rPr>
        <w:t>’</w:t>
      </w:r>
      <w:r w:rsidRPr="00D571F9">
        <w:rPr>
          <w:rFonts w:cs="Times New Roman"/>
        </w:rPr>
        <w:t>s decision is favorable to the teacher, the board shall pay the cost of the reporter</w:t>
      </w:r>
      <w:r w:rsidRPr="009F627F">
        <w:rPr>
          <w:rFonts w:cs="Times New Roman"/>
        </w:rPr>
        <w:t>’</w:t>
      </w:r>
      <w:r w:rsidRPr="00D571F9">
        <w:rPr>
          <w:rFonts w:cs="Times New Roman"/>
        </w:rPr>
        <w:t>s attendance and services at the hearing. If the decision is unfavorable to the teacher, one</w:t>
      </w:r>
      <w:r>
        <w:rPr>
          <w:rFonts w:cs="Times New Roman"/>
        </w:rPr>
        <w:noBreakHyphen/>
      </w:r>
      <w:r w:rsidRPr="00D571F9">
        <w:rPr>
          <w:rFonts w:cs="Times New Roman"/>
        </w:rPr>
        <w:t>half of the cost of the reporter</w:t>
      </w:r>
      <w:r w:rsidRPr="009F627F">
        <w:rPr>
          <w:rFonts w:cs="Times New Roman"/>
        </w:rPr>
        <w:t>’</w:t>
      </w:r>
      <w:r w:rsidRPr="00D571F9">
        <w:rPr>
          <w:rFonts w:cs="Times New Roman"/>
        </w:rPr>
        <w:t>s attendance and services must be borne by the teacher.  A party desiring a transcript of the hearing must pay for the costs of obtaining the transcript.”</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461EC7"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Dismissal hearing scheduling and procedures revised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SECTION</w:t>
      </w:r>
      <w:r w:rsidRPr="00D571F9">
        <w:rPr>
          <w:rFonts w:cs="Times New Roman"/>
        </w:rPr>
        <w:tab/>
        <w:t>4.</w:t>
      </w: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470 of the 1976 Code is amended to read: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470.</w:t>
      </w:r>
      <w:r w:rsidRPr="00D571F9">
        <w:rPr>
          <w:rFonts w:cs="Times New Roman"/>
        </w:rPr>
        <w:tab/>
        <w:t>(A)</w:t>
      </w:r>
      <w:r w:rsidRPr="00D571F9">
        <w:rPr>
          <w:rFonts w:cs="Times New Roman"/>
        </w:rPr>
        <w:tab/>
        <w:t xml:space="preserve">Within fifteen days after receipt of notice of suspension or dismissal, a teacher may serve upon the chairman of the board or the superintendent a written request for a hearing before the board, or its designee. </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(B)</w:t>
      </w:r>
      <w:r w:rsidRPr="00D571F9">
        <w:rPr>
          <w:rFonts w:cs="Times New Roman"/>
        </w:rPr>
        <w:tab/>
        <w:t xml:space="preserve">If the teacher fails to make such a request, or after a hearing as provided in this article, the board shall take action and shall enter an order as it considers lawful and appropriate. </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(C)</w:t>
      </w:r>
      <w:r w:rsidRPr="00D571F9">
        <w:rPr>
          <w:rFonts w:cs="Times New Roman"/>
        </w:rPr>
        <w:tab/>
        <w:t>The hearing must be held by the board, or its designee, within forty</w:t>
      </w:r>
      <w:r>
        <w:rPr>
          <w:rFonts w:cs="Times New Roman"/>
        </w:rPr>
        <w:noBreakHyphen/>
      </w:r>
      <w:r w:rsidRPr="00D571F9">
        <w:rPr>
          <w:rFonts w:cs="Times New Roman"/>
        </w:rPr>
        <w:t xml:space="preserve">five days after the request is served.  A notice of the time and place of the hearing must be given the teacher not less than five days before the date of the hearing. </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(D)</w:t>
      </w:r>
      <w:r w:rsidRPr="00D571F9">
        <w:rPr>
          <w:rFonts w:cs="Times New Roman"/>
        </w:rPr>
        <w:tab/>
        <w:t>The teacher may be present with counsel at the hearing, and may cross</w:t>
      </w:r>
      <w:r>
        <w:rPr>
          <w:rFonts w:cs="Times New Roman"/>
        </w:rPr>
        <w:noBreakHyphen/>
      </w:r>
      <w:r w:rsidRPr="00D571F9">
        <w:rPr>
          <w:rFonts w:cs="Times New Roman"/>
        </w:rPr>
        <w:t xml:space="preserve">examine witnesses, may offer evidence and witnesses, </w:t>
      </w:r>
      <w:r w:rsidRPr="00D571F9">
        <w:rPr>
          <w:rFonts w:cs="Times New Roman"/>
          <w:snapToGrid w:val="0"/>
        </w:rPr>
        <w:t>and present defenses to the charges.  The board, or its designee, shall order the</w:t>
      </w:r>
      <w:r w:rsidRPr="00D571F9">
        <w:rPr>
          <w:rFonts w:cs="Times New Roman"/>
        </w:rPr>
        <w:t xml:space="preserve"> appearance of any witness requested by the teacher, subject to the limitations of Section 59</w:t>
      </w:r>
      <w:r>
        <w:rPr>
          <w:rFonts w:cs="Times New Roman"/>
        </w:rPr>
        <w:noBreakHyphen/>
      </w:r>
      <w:r w:rsidRPr="00D571F9">
        <w:rPr>
          <w:rFonts w:cs="Times New Roman"/>
        </w:rPr>
        <w:t>25</w:t>
      </w:r>
      <w:r>
        <w:rPr>
          <w:rFonts w:cs="Times New Roman"/>
        </w:rPr>
        <w:noBreakHyphen/>
      </w:r>
      <w:r w:rsidRPr="00D571F9">
        <w:rPr>
          <w:rFonts w:cs="Times New Roman"/>
        </w:rPr>
        <w:t>460. The superintendent shall initiate the introduction of evidence in</w:t>
      </w:r>
      <w:r>
        <w:rPr>
          <w:rFonts w:cs="Times New Roman"/>
        </w:rPr>
        <w:t xml:space="preserve"> substantiation of the charges.</w:t>
      </w:r>
      <w:r w:rsidRPr="00D571F9">
        <w:rPr>
          <w:rFonts w:cs="Times New Roman"/>
        </w:rPr>
        <w:t>”</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461EC7"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Appeals, archaic language corrected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SECTION</w:t>
      </w:r>
      <w:r w:rsidRPr="00D571F9">
        <w:rPr>
          <w:rFonts w:cs="Times New Roman"/>
        </w:rPr>
        <w:tab/>
        <w:t>5.</w:t>
      </w: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480 of the 1976 Code is amended to read: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480.</w:t>
      </w:r>
      <w:r w:rsidRPr="00D571F9">
        <w:rPr>
          <w:rFonts w:cs="Times New Roman"/>
        </w:rPr>
        <w:tab/>
        <w:t>(A)</w:t>
      </w:r>
      <w:r w:rsidRPr="00D571F9">
        <w:rPr>
          <w:rFonts w:cs="Times New Roman"/>
        </w:rPr>
        <w:tab/>
        <w:t>The decision of the district board of trustees is final, unless within thirty days afterward an appeal is made to the court of common pleas of any county in which the major portion of such district lies.</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(B)</w:t>
      </w:r>
      <w:r w:rsidRPr="00D571F9">
        <w:rPr>
          <w:rFonts w:cs="Times New Roman"/>
        </w:rPr>
        <w:tab/>
        <w:t>Notice of the appeal and the grounds thereof shall be filed with the district board of trustees. The district board shall, within thirty days thereafter, file a certified copy of the transcript record with the clerk of such court.  An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461EC7"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Depositions, archaic language corrected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SECTION</w:t>
      </w:r>
      <w:r w:rsidRPr="00D571F9">
        <w:rPr>
          <w:rFonts w:cs="Times New Roman"/>
        </w:rPr>
        <w:tab/>
        <w:t>6.</w:t>
      </w: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490 of the 1976 Code is amended to read:</w:t>
      </w:r>
    </w:p>
    <w:p w:rsidR="00C527C8" w:rsidRPr="00D571F9"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ab/>
        <w:t>“Section 59</w:t>
      </w:r>
      <w:r>
        <w:rPr>
          <w:rFonts w:cs="Times New Roman"/>
        </w:rPr>
        <w:noBreakHyphen/>
      </w:r>
      <w:r w:rsidRPr="00D571F9">
        <w:rPr>
          <w:rFonts w:cs="Times New Roman"/>
        </w:rPr>
        <w:t>25</w:t>
      </w:r>
      <w:r>
        <w:rPr>
          <w:rFonts w:cs="Times New Roman"/>
        </w:rPr>
        <w:noBreakHyphen/>
      </w:r>
      <w:r w:rsidRPr="00D571F9">
        <w:rPr>
          <w:rFonts w:cs="Times New Roman"/>
        </w:rPr>
        <w:t>490.</w:t>
      </w:r>
      <w:r w:rsidRPr="00D571F9">
        <w:rPr>
          <w:rFonts w:cs="Times New Roman"/>
        </w:rPr>
        <w:tab/>
        <w:t>A party to a proceeding conducted pursuant to this chapter may depose a witness within or without the State and either by commission or de bene esse.  The deposition must be taken pursuant and subject to the same provisions, conditions, and restrictions that apply to taking of similar depositions in actions brought in the court of common pleas.  The same rules with respect to the giving of notice to the opposite party, the taking and transcribing of testimony, the transmission and certification of them and matters of practice relating to them apply.”</w:t>
      </w:r>
    </w:p>
    <w:p w:rsidR="00C527C8" w:rsidRDefault="00C527C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461EC7" w:rsidRDefault="00C527C8" w:rsidP="00C527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527C8" w:rsidRPr="00D571F9" w:rsidRDefault="00C527C8" w:rsidP="00C527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7C8" w:rsidRPr="00D571F9" w:rsidRDefault="00C527C8" w:rsidP="00C527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71F9">
        <w:rPr>
          <w:rFonts w:cs="Times New Roman"/>
        </w:rPr>
        <w:t>SECTION</w:t>
      </w:r>
      <w:r w:rsidRPr="00D571F9">
        <w:rPr>
          <w:rFonts w:cs="Times New Roman"/>
        </w:rPr>
        <w:tab/>
        <w:t>7.</w:t>
      </w:r>
      <w:r w:rsidRPr="00D571F9">
        <w:rPr>
          <w:rFonts w:cs="Times New Roman"/>
        </w:rPr>
        <w:tab/>
        <w:t>This act takes effect upon approval by the Governor.</w:t>
      </w:r>
    </w:p>
    <w:p w:rsidR="00C527C8" w:rsidRDefault="00C527C8" w:rsidP="00C527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527C8" w:rsidRDefault="00C527C8" w:rsidP="00C527C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C527C8" w:rsidRDefault="00C527C8" w:rsidP="00C527C8">
      <w:pPr>
        <w:keepNext/>
        <w:jc w:val="both"/>
        <w:rPr>
          <w:color w:val="000000" w:themeColor="text1"/>
        </w:rPr>
      </w:pPr>
    </w:p>
    <w:p w:rsidR="00C527C8" w:rsidRDefault="00C527C8" w:rsidP="00C527C8">
      <w:pPr>
        <w:jc w:val="both"/>
        <w:rPr>
          <w:color w:val="000000" w:themeColor="text1"/>
        </w:rPr>
      </w:pPr>
      <w:r>
        <w:rPr>
          <w:color w:val="000000" w:themeColor="text1"/>
        </w:rPr>
        <w:t>Approved the 3</w:t>
      </w:r>
      <w:r w:rsidRPr="00E35B02">
        <w:rPr>
          <w:color w:val="000000" w:themeColor="text1"/>
          <w:vertAlign w:val="superscript"/>
        </w:rPr>
        <w:t>rd</w:t>
      </w:r>
      <w:r>
        <w:rPr>
          <w:color w:val="000000" w:themeColor="text1"/>
        </w:rPr>
        <w:t xml:space="preserve"> day of June, 2016. </w:t>
      </w:r>
    </w:p>
    <w:p w:rsidR="00C527C8" w:rsidRDefault="00C527C8" w:rsidP="00C527C8">
      <w:pPr>
        <w:jc w:val="center"/>
        <w:rPr>
          <w:color w:val="000000" w:themeColor="text1"/>
        </w:rPr>
      </w:pPr>
    </w:p>
    <w:p w:rsidR="00C527C8" w:rsidRDefault="00C527C8" w:rsidP="00C527C8">
      <w:pPr>
        <w:jc w:val="center"/>
        <w:rPr>
          <w:color w:val="000000" w:themeColor="text1"/>
        </w:rPr>
      </w:pPr>
      <w:r>
        <w:rPr>
          <w:color w:val="000000" w:themeColor="text1"/>
        </w:rPr>
        <w:t>__________</w:t>
      </w:r>
    </w:p>
    <w:p w:rsidR="00162598" w:rsidRPr="00B50F10" w:rsidRDefault="00162598" w:rsidP="00C52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62598" w:rsidRPr="00B50F10" w:rsidSect="00162598">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D10" w:rsidRDefault="00ED3D10" w:rsidP="007D5FAC">
      <w:r>
        <w:separator/>
      </w:r>
    </w:p>
  </w:endnote>
  <w:endnote w:type="continuationSeparator" w:id="0">
    <w:p w:rsidR="00ED3D10" w:rsidRDefault="00ED3D1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98" w:rsidRPr="00162598" w:rsidRDefault="00162598" w:rsidP="0016259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6319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98" w:rsidRDefault="001625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D10" w:rsidRDefault="00ED3D10" w:rsidP="007D5FAC">
      <w:r>
        <w:separator/>
      </w:r>
    </w:p>
  </w:footnote>
  <w:footnote w:type="continuationSeparator" w:id="0">
    <w:p w:rsidR="00ED3D10" w:rsidRDefault="00ED3D1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60"/>
    <w:docVar w:name="ActSecretary" w:val="Morgan"/>
    <w:docVar w:name="ActSIdno" w:val="(142)  3560AB16"/>
    <w:docVar w:name="clipname" w:val="3560AB16"/>
    <w:docVar w:name="dvBillNumber" w:val="3560"/>
    <w:docVar w:name="dvBillNumberPrefix" w:val="H"/>
    <w:docVar w:name="dvOriginalBody" w:val="House"/>
    <w:docVar w:name="HOUSEACTFULLPATH" w:val="L:\COUNCIL\ACTS\3560AB16.DOCX"/>
    <w:docVar w:name="OrigHOUSEBillNo" w:val="3560"/>
    <w:docVar w:name="WhatActtype" w:val="AN ACT"/>
  </w:docVars>
  <w:rsids>
    <w:rsidRoot w:val="00ED3D10"/>
    <w:rsid w:val="00002DE0"/>
    <w:rsid w:val="00020349"/>
    <w:rsid w:val="00020977"/>
    <w:rsid w:val="00021B0B"/>
    <w:rsid w:val="00040C05"/>
    <w:rsid w:val="0004579B"/>
    <w:rsid w:val="00045C6D"/>
    <w:rsid w:val="00051B4F"/>
    <w:rsid w:val="000604DC"/>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598"/>
    <w:rsid w:val="001626DB"/>
    <w:rsid w:val="00163190"/>
    <w:rsid w:val="00170F30"/>
    <w:rsid w:val="001712B7"/>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385D"/>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369F7"/>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1BD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02BA"/>
    <w:rsid w:val="00360108"/>
    <w:rsid w:val="00360D70"/>
    <w:rsid w:val="00364D3F"/>
    <w:rsid w:val="00366494"/>
    <w:rsid w:val="00370DA1"/>
    <w:rsid w:val="00372564"/>
    <w:rsid w:val="00372FF8"/>
    <w:rsid w:val="0038005A"/>
    <w:rsid w:val="00391A3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579C"/>
    <w:rsid w:val="00412B47"/>
    <w:rsid w:val="004157C4"/>
    <w:rsid w:val="0041760A"/>
    <w:rsid w:val="00417A9C"/>
    <w:rsid w:val="00423310"/>
    <w:rsid w:val="00427BCB"/>
    <w:rsid w:val="00430DA3"/>
    <w:rsid w:val="00432E09"/>
    <w:rsid w:val="00435D03"/>
    <w:rsid w:val="004374A9"/>
    <w:rsid w:val="00445A20"/>
    <w:rsid w:val="00447C2D"/>
    <w:rsid w:val="0045270B"/>
    <w:rsid w:val="00461EC7"/>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577C"/>
    <w:rsid w:val="005839FC"/>
    <w:rsid w:val="00583CB3"/>
    <w:rsid w:val="005859EE"/>
    <w:rsid w:val="00586D93"/>
    <w:rsid w:val="00591D7C"/>
    <w:rsid w:val="005930A4"/>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45F6"/>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00B"/>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5F0E"/>
    <w:rsid w:val="00737039"/>
    <w:rsid w:val="007373C7"/>
    <w:rsid w:val="00740BEB"/>
    <w:rsid w:val="007469F9"/>
    <w:rsid w:val="00747761"/>
    <w:rsid w:val="0074783A"/>
    <w:rsid w:val="007514EF"/>
    <w:rsid w:val="00754136"/>
    <w:rsid w:val="00765461"/>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BD"/>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9F627F"/>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19C0"/>
    <w:rsid w:val="00A62F8F"/>
    <w:rsid w:val="00A64E80"/>
    <w:rsid w:val="00A70F1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0F5F"/>
    <w:rsid w:val="00B374C4"/>
    <w:rsid w:val="00B408FD"/>
    <w:rsid w:val="00B40F1D"/>
    <w:rsid w:val="00B4797F"/>
    <w:rsid w:val="00B50F10"/>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7C8"/>
    <w:rsid w:val="00C55195"/>
    <w:rsid w:val="00C55E12"/>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3D10"/>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3A3B714-8475-4E8A-85D7-627F7253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625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apple-converted-space">
    <w:name w:val="apple-converted-space"/>
    <w:basedOn w:val="DefaultParagraphFont"/>
    <w:rsid w:val="00461EC7"/>
  </w:style>
  <w:style w:type="paragraph" w:styleId="BalloonText">
    <w:name w:val="Balloon Text"/>
    <w:basedOn w:val="Normal"/>
    <w:link w:val="BalloonTextChar"/>
    <w:uiPriority w:val="99"/>
    <w:semiHidden/>
    <w:unhideWhenUsed/>
    <w:rsid w:val="00C55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E12"/>
    <w:rPr>
      <w:rFonts w:ascii="Segoe UI" w:hAnsi="Segoe UI" w:cs="Segoe UI"/>
      <w:sz w:val="18"/>
      <w:szCs w:val="18"/>
    </w:rPr>
  </w:style>
  <w:style w:type="table" w:styleId="TableGrid">
    <w:name w:val="Table Grid"/>
    <w:basedOn w:val="TableNormal"/>
    <w:uiPriority w:val="59"/>
    <w:rsid w:val="00391A3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6259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54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1-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6\05-11-16.docx" TargetMode="External"/><Relationship Id="rId26" Type="http://schemas.openxmlformats.org/officeDocument/2006/relationships/hyperlink" Target="file:///p:\pprever\2015-16\3560_20150423.docx" TargetMode="External"/><Relationship Id="rId3" Type="http://schemas.openxmlformats.org/officeDocument/2006/relationships/settings" Target="settings.xml"/><Relationship Id="rId21" Type="http://schemas.openxmlformats.org/officeDocument/2006/relationships/hyperlink" Target="file:///h:\SJ%20Archive\2016\05-18-16.docx" TargetMode="External"/><Relationship Id="rId34" Type="http://schemas.openxmlformats.org/officeDocument/2006/relationships/theme" Target="theme/theme1.xml"/><Relationship Id="rId7" Type="http://schemas.openxmlformats.org/officeDocument/2006/relationships/hyperlink" Target="file:///h:\HJ%20Archive\2015\02-11-15.docx" TargetMode="External"/><Relationship Id="rId12" Type="http://schemas.openxmlformats.org/officeDocument/2006/relationships/hyperlink" Target="file:///h:\HJ%20Archive\2015\04-28-15.docx" TargetMode="External"/><Relationship Id="rId17" Type="http://schemas.openxmlformats.org/officeDocument/2006/relationships/hyperlink" Target="file:///h:\SJ%20Archive\2015\05-05-15.docx" TargetMode="External"/><Relationship Id="rId25" Type="http://schemas.openxmlformats.org/officeDocument/2006/relationships/hyperlink" Target="file:///p:\pprever\2015-16\3560_2015021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5-05-15.docx" TargetMode="External"/><Relationship Id="rId20" Type="http://schemas.openxmlformats.org/officeDocument/2006/relationships/hyperlink" Target="file:///h:\SJ%20Archive\2016\05-11-16.docx" TargetMode="External"/><Relationship Id="rId29" Type="http://schemas.openxmlformats.org/officeDocument/2006/relationships/hyperlink" Target="file:///p:\pprever\2015-16\3560_201605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http://www.scstatehouse.gov/billsearch.php?billnumbers=3560&amp;session=121&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hyperlink" Target="file:///h:\HJ%20Archive\2016\05-26-16.docx" TargetMode="External"/><Relationship Id="rId28" Type="http://schemas.openxmlformats.org/officeDocument/2006/relationships/hyperlink" Target="file:///p:\pprever\2015-16\3560_20150505.docx" TargetMode="External"/><Relationship Id="rId10" Type="http://schemas.openxmlformats.org/officeDocument/2006/relationships/hyperlink" Target="file:///h:\HJ%20Archive\2015\04-28-15.docx" TargetMode="External"/><Relationship Id="rId19" Type="http://schemas.openxmlformats.org/officeDocument/2006/relationships/hyperlink" Target="file:///h:\SJ%20Archive\2016\05-11-1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SJ%20Archive\2015\04-29-15.docx" TargetMode="External"/><Relationship Id="rId22" Type="http://schemas.openxmlformats.org/officeDocument/2006/relationships/hyperlink" Target="file:///h:\HJ%20Archive\2016\05-26-16.docx" TargetMode="External"/><Relationship Id="rId27" Type="http://schemas.openxmlformats.org/officeDocument/2006/relationships/hyperlink" Target="file:///p:\pprever\2015-16\3560_20150428.docx" TargetMode="External"/><Relationship Id="rId30" Type="http://schemas.openxmlformats.org/officeDocument/2006/relationships/hyperlink" Target="file:///p:\pprever\2015-16\3560_201605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D44E-A098-4545-8BEE-AC69CD58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3560: Teacher dismissal hearings - South Carolina Legislature Online</dc:title>
  <dc:subject/>
  <dc:creator>angiemorgan</dc:creator>
  <cp:keywords/>
  <dc:description/>
  <cp:lastModifiedBy>N Cumfer</cp:lastModifiedBy>
  <cp:revision>2</cp:revision>
  <cp:lastPrinted>2016-05-26T19:41:00Z</cp:lastPrinted>
  <dcterms:created xsi:type="dcterms:W3CDTF">2016-12-02T18:08:00Z</dcterms:created>
  <dcterms:modified xsi:type="dcterms:W3CDTF">2016-12-02T18:08:00Z</dcterms:modified>
</cp:coreProperties>
</file>