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52534">
        <w:rPr>
          <w:rFonts w:eastAsia="Times New Roman" w:cs="Times New Roman"/>
          <w:b/>
          <w:szCs w:val="20"/>
        </w:rPr>
        <w:t>South Carolina General Assembly</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2534">
        <w:rPr>
          <w:rFonts w:eastAsia="Times New Roman" w:cs="Times New Roman"/>
          <w:szCs w:val="20"/>
        </w:rPr>
        <w:t>121st Session, 2015-2016</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534" w:rsidRPr="00352534" w:rsidRDefault="007745A1"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A261, R299, H3682</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534">
        <w:rPr>
          <w:rFonts w:eastAsia="Times New Roman" w:cs="Times New Roman"/>
          <w:b/>
          <w:szCs w:val="20"/>
        </w:rPr>
        <w:t>STATUS INFORMATION</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534">
        <w:rPr>
          <w:rFonts w:eastAsia="Times New Roman" w:cs="Times New Roman"/>
          <w:szCs w:val="20"/>
        </w:rPr>
        <w:t>General Bill</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534">
        <w:rPr>
          <w:rFonts w:eastAsia="Times New Roman" w:cs="Times New Roman"/>
          <w:szCs w:val="20"/>
        </w:rPr>
        <w:t>Sponsors: Reps. Finlay, Bannister, Newton, Cole, Delleney, Weeks, Whipper, Robinson</w:t>
      </w:r>
      <w:r w:rsidRPr="00352534">
        <w:rPr>
          <w:rFonts w:eastAsia="Times New Roman" w:cs="Times New Roman"/>
          <w:szCs w:val="20"/>
        </w:rPr>
        <w:noBreakHyphen/>
        <w:t>Simpson and Bingham</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534">
        <w:rPr>
          <w:rFonts w:eastAsia="Times New Roman" w:cs="Times New Roman"/>
          <w:szCs w:val="20"/>
        </w:rPr>
        <w:t>Document Path: l:\council\bills\bbm\9209dg15.docx</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D58" w:rsidRDefault="00F06D58"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2015</w:t>
      </w:r>
    </w:p>
    <w:p w:rsidR="00F06D58" w:rsidRDefault="00F06D58"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F06D58" w:rsidRDefault="00F06D58"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F06D58" w:rsidRDefault="00F06D58"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F06D58" w:rsidRDefault="00F06D58"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F06D58" w:rsidRDefault="00F06D58"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534">
        <w:rPr>
          <w:rFonts w:eastAsia="Times New Roman" w:cs="Times New Roman"/>
          <w:szCs w:val="20"/>
        </w:rPr>
        <w:t>Summary: Bad Faith Assertion of Patent Infringement Act</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534" w:rsidRPr="00352534" w:rsidRDefault="00352534" w:rsidP="00352534">
      <w:pPr>
        <w:widowControl w:val="0"/>
        <w:tabs>
          <w:tab w:val="center" w:pos="590"/>
          <w:tab w:val="center" w:pos="1440"/>
          <w:tab w:val="left" w:pos="1872"/>
          <w:tab w:val="left" w:pos="9187"/>
        </w:tabs>
        <w:rPr>
          <w:rFonts w:eastAsia="Times New Roman" w:cs="Times New Roman"/>
          <w:szCs w:val="20"/>
        </w:rPr>
      </w:pPr>
      <w:r w:rsidRPr="00352534">
        <w:rPr>
          <w:rFonts w:eastAsia="Times New Roman" w:cs="Times New Roman"/>
          <w:b/>
          <w:szCs w:val="20"/>
        </w:rPr>
        <w:t>HISTORY OF LEGISLATIVE ACTIONS</w:t>
      </w:r>
    </w:p>
    <w:p w:rsidR="00352534" w:rsidRPr="00352534" w:rsidRDefault="00352534" w:rsidP="00352534">
      <w:pPr>
        <w:widowControl w:val="0"/>
        <w:tabs>
          <w:tab w:val="center" w:pos="590"/>
          <w:tab w:val="center" w:pos="1440"/>
          <w:tab w:val="left" w:pos="1872"/>
          <w:tab w:val="left" w:pos="9187"/>
        </w:tabs>
        <w:rPr>
          <w:rFonts w:eastAsia="Times New Roman" w:cs="Times New Roman"/>
          <w:szCs w:val="20"/>
        </w:rPr>
      </w:pPr>
    </w:p>
    <w:p w:rsidR="00352534" w:rsidRPr="00352534" w:rsidRDefault="00352534" w:rsidP="00352534">
      <w:pPr>
        <w:widowControl w:val="0"/>
        <w:tabs>
          <w:tab w:val="center" w:pos="590"/>
          <w:tab w:val="center" w:pos="1440"/>
          <w:tab w:val="left" w:pos="1872"/>
          <w:tab w:val="left" w:pos="9187"/>
        </w:tabs>
        <w:rPr>
          <w:rFonts w:eastAsia="Times New Roman" w:cs="Times New Roman"/>
          <w:szCs w:val="20"/>
        </w:rPr>
      </w:pPr>
      <w:r w:rsidRPr="00352534">
        <w:rPr>
          <w:rFonts w:eastAsia="Times New Roman" w:cs="Times New Roman"/>
          <w:szCs w:val="20"/>
          <w:u w:val="single"/>
        </w:rPr>
        <w:tab/>
        <w:t>Date</w:t>
      </w:r>
      <w:r w:rsidRPr="00352534">
        <w:rPr>
          <w:rFonts w:eastAsia="Times New Roman" w:cs="Times New Roman"/>
          <w:szCs w:val="20"/>
          <w:u w:val="single"/>
        </w:rPr>
        <w:tab/>
        <w:t>Body</w:t>
      </w:r>
      <w:r w:rsidRPr="00352534">
        <w:rPr>
          <w:rFonts w:eastAsia="Times New Roman" w:cs="Times New Roman"/>
          <w:szCs w:val="20"/>
          <w:u w:val="single"/>
        </w:rPr>
        <w:tab/>
        <w:t>Action Description with journal page number</w:t>
      </w:r>
      <w:r w:rsidRPr="00352534">
        <w:rPr>
          <w:rFonts w:eastAsia="Times New Roman" w:cs="Times New Roman"/>
          <w:szCs w:val="20"/>
          <w:u w:val="single"/>
        </w:rPr>
        <w:tab/>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293A71">
        <w:rPr>
          <w:rFonts w:cs="Times New Roman"/>
        </w:rPr>
        <w:t>Introduced and read first time (</w:t>
      </w:r>
      <w:hyperlink r:id="rId7" w:history="1">
        <w:r w:rsidRPr="000E37D6">
          <w:rPr>
            <w:rStyle w:val="Hyperlink"/>
            <w:rFonts w:cs="Times New Roman"/>
          </w:rPr>
          <w:t>House Journal</w:t>
        </w:r>
        <w:r w:rsidRPr="000E37D6">
          <w:rPr>
            <w:rStyle w:val="Hyperlink"/>
            <w:rFonts w:cs="Times New Roman"/>
          </w:rPr>
          <w:noBreakHyphen/>
          <w:t>page 31</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293A71">
        <w:rPr>
          <w:rFonts w:cs="Times New Roman"/>
        </w:rPr>
        <w:t>Ref</w:t>
      </w:r>
      <w:r>
        <w:rPr>
          <w:rFonts w:cs="Times New Roman"/>
        </w:rPr>
        <w:t xml:space="preserve">erred to Committee on </w:t>
      </w:r>
      <w:r w:rsidRPr="00293A71">
        <w:rPr>
          <w:rFonts w:cs="Times New Roman"/>
          <w:b/>
        </w:rPr>
        <w:t>Judiciary</w:t>
      </w:r>
      <w:r>
        <w:rPr>
          <w:rFonts w:cs="Times New Roman"/>
        </w:rPr>
        <w:t xml:space="preserve"> </w:t>
      </w:r>
      <w:r w:rsidRPr="00293A71">
        <w:rPr>
          <w:rFonts w:cs="Times New Roman"/>
        </w:rPr>
        <w:t>(</w:t>
      </w:r>
      <w:hyperlink r:id="rId8" w:history="1">
        <w:r w:rsidRPr="000E37D6">
          <w:rPr>
            <w:rStyle w:val="Hyperlink"/>
            <w:rFonts w:cs="Times New Roman"/>
          </w:rPr>
          <w:t>House Journal</w:t>
        </w:r>
        <w:r w:rsidRPr="000E37D6">
          <w:rPr>
            <w:rStyle w:val="Hyperlink"/>
            <w:rFonts w:cs="Times New Roman"/>
          </w:rPr>
          <w:noBreakHyphen/>
          <w:t>page 31</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293A71">
        <w:rPr>
          <w:rFonts w:cs="Times New Roman"/>
        </w:rPr>
        <w:t>Member(s) request name added as sponsor: Weeks, Whipper</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293A71">
        <w:rPr>
          <w:rFonts w:cs="Times New Roman"/>
        </w:rPr>
        <w:t>Commit</w:t>
      </w:r>
      <w:r>
        <w:rPr>
          <w:rFonts w:cs="Times New Roman"/>
        </w:rPr>
        <w:t xml:space="preserve">tee report: Favorable </w:t>
      </w:r>
      <w:r w:rsidRPr="00293A71">
        <w:rPr>
          <w:rFonts w:cs="Times New Roman"/>
          <w:b/>
        </w:rPr>
        <w:t>Judiciary</w:t>
      </w:r>
      <w:r>
        <w:rPr>
          <w:rFonts w:cs="Times New Roman"/>
        </w:rPr>
        <w:t xml:space="preserve"> </w:t>
      </w:r>
      <w:r w:rsidRPr="00293A71">
        <w:rPr>
          <w:rFonts w:cs="Times New Roman"/>
        </w:rPr>
        <w:t>(</w:t>
      </w:r>
      <w:hyperlink r:id="rId9" w:history="1">
        <w:r w:rsidRPr="000E37D6">
          <w:rPr>
            <w:rStyle w:val="Hyperlink"/>
            <w:rFonts w:cs="Times New Roman"/>
          </w:rPr>
          <w:t>House Journal</w:t>
        </w:r>
        <w:r w:rsidRPr="000E37D6">
          <w:rPr>
            <w:rStyle w:val="Hyperlink"/>
            <w:rFonts w:cs="Times New Roman"/>
          </w:rPr>
          <w:noBreakHyphen/>
          <w:t>page 6</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293A71">
        <w:rPr>
          <w:rFonts w:cs="Times New Roman"/>
        </w:rPr>
        <w:t>Member(s)</w:t>
      </w:r>
      <w:r>
        <w:rPr>
          <w:rFonts w:cs="Times New Roman"/>
        </w:rPr>
        <w:t xml:space="preserve"> request name added as sponsor: </w:t>
      </w:r>
      <w:r w:rsidRPr="00293A71">
        <w:rPr>
          <w:rFonts w:cs="Times New Roman"/>
        </w:rPr>
        <w:t>Robinson</w:t>
      </w:r>
      <w:r>
        <w:rPr>
          <w:rFonts w:cs="Times New Roman"/>
        </w:rPr>
        <w:noBreakHyphen/>
      </w:r>
      <w:r w:rsidRPr="00293A71">
        <w:rPr>
          <w:rFonts w:cs="Times New Roman"/>
        </w:rPr>
        <w:t>Simpson</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93A71">
        <w:rPr>
          <w:rFonts w:cs="Times New Roman"/>
        </w:rPr>
        <w:t>Member(s) request name added as sponsor: Bingham</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93A71">
        <w:rPr>
          <w:rFonts w:cs="Times New Roman"/>
        </w:rPr>
        <w:t>Read second time (</w:t>
      </w:r>
      <w:hyperlink r:id="rId10" w:history="1">
        <w:r w:rsidRPr="000E37D6">
          <w:rPr>
            <w:rStyle w:val="Hyperlink"/>
            <w:rFonts w:cs="Times New Roman"/>
          </w:rPr>
          <w:t>House Journal</w:t>
        </w:r>
        <w:r w:rsidRPr="000E37D6">
          <w:rPr>
            <w:rStyle w:val="Hyperlink"/>
            <w:rFonts w:cs="Times New Roman"/>
          </w:rPr>
          <w:noBreakHyphen/>
          <w:t>page 37</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93A71">
        <w:rPr>
          <w:rFonts w:cs="Times New Roman"/>
        </w:rPr>
        <w:t>Roll call Yeas</w:t>
      </w:r>
      <w:r>
        <w:rPr>
          <w:rFonts w:cs="Times New Roman"/>
        </w:rPr>
        <w:noBreakHyphen/>
      </w:r>
      <w:r w:rsidRPr="00293A71">
        <w:rPr>
          <w:rFonts w:cs="Times New Roman"/>
        </w:rPr>
        <w:t>103  Nays</w:t>
      </w:r>
      <w:r>
        <w:rPr>
          <w:rFonts w:cs="Times New Roman"/>
        </w:rPr>
        <w:noBreakHyphen/>
      </w:r>
      <w:r w:rsidRPr="00293A71">
        <w:rPr>
          <w:rFonts w:cs="Times New Roman"/>
        </w:rPr>
        <w:t>0 (</w:t>
      </w:r>
      <w:hyperlink r:id="rId11" w:history="1">
        <w:r w:rsidRPr="000E37D6">
          <w:rPr>
            <w:rStyle w:val="Hyperlink"/>
            <w:rFonts w:cs="Times New Roman"/>
          </w:rPr>
          <w:t>House Journal</w:t>
        </w:r>
        <w:r w:rsidRPr="000E37D6">
          <w:rPr>
            <w:rStyle w:val="Hyperlink"/>
            <w:rFonts w:cs="Times New Roman"/>
          </w:rPr>
          <w:noBreakHyphen/>
          <w:t>page 38</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293A71">
        <w:rPr>
          <w:rFonts w:cs="Times New Roman"/>
        </w:rPr>
        <w:t>Rea</w:t>
      </w:r>
      <w:r>
        <w:rPr>
          <w:rFonts w:cs="Times New Roman"/>
        </w:rPr>
        <w:t xml:space="preserve">d third time and sent to Senate </w:t>
      </w:r>
      <w:r w:rsidRPr="00293A71">
        <w:rPr>
          <w:rFonts w:cs="Times New Roman"/>
        </w:rPr>
        <w:t>(</w:t>
      </w:r>
      <w:hyperlink r:id="rId12" w:history="1">
        <w:r w:rsidRPr="000E37D6">
          <w:rPr>
            <w:rStyle w:val="Hyperlink"/>
            <w:rFonts w:cs="Times New Roman"/>
          </w:rPr>
          <w:t>House Journal</w:t>
        </w:r>
        <w:r w:rsidRPr="000E37D6">
          <w:rPr>
            <w:rStyle w:val="Hyperlink"/>
            <w:rFonts w:cs="Times New Roman"/>
          </w:rPr>
          <w:noBreakHyphen/>
          <w:t>page 21</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293A71">
        <w:rPr>
          <w:rFonts w:cs="Times New Roman"/>
        </w:rPr>
        <w:t>Roll call Yeas</w:t>
      </w:r>
      <w:r>
        <w:rPr>
          <w:rFonts w:cs="Times New Roman"/>
        </w:rPr>
        <w:noBreakHyphen/>
      </w:r>
      <w:r w:rsidRPr="00293A71">
        <w:rPr>
          <w:rFonts w:cs="Times New Roman"/>
        </w:rPr>
        <w:t>87  Nays</w:t>
      </w:r>
      <w:r>
        <w:rPr>
          <w:rFonts w:cs="Times New Roman"/>
        </w:rPr>
        <w:noBreakHyphen/>
      </w:r>
      <w:r w:rsidRPr="00293A71">
        <w:rPr>
          <w:rFonts w:cs="Times New Roman"/>
        </w:rPr>
        <w:t>0 (</w:t>
      </w:r>
      <w:hyperlink r:id="rId13" w:history="1">
        <w:r w:rsidRPr="000E37D6">
          <w:rPr>
            <w:rStyle w:val="Hyperlink"/>
            <w:rFonts w:cs="Times New Roman"/>
          </w:rPr>
          <w:t>House Journal</w:t>
        </w:r>
        <w:r w:rsidRPr="000E37D6">
          <w:rPr>
            <w:rStyle w:val="Hyperlink"/>
            <w:rFonts w:cs="Times New Roman"/>
          </w:rPr>
          <w:noBreakHyphen/>
          <w:t>page 21</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293A71">
        <w:rPr>
          <w:rFonts w:cs="Times New Roman"/>
        </w:rPr>
        <w:t>Introduced and read first time (</w:t>
      </w:r>
      <w:hyperlink r:id="rId14" w:history="1">
        <w:r w:rsidRPr="000E37D6">
          <w:rPr>
            <w:rStyle w:val="Hyperlink"/>
            <w:rFonts w:cs="Times New Roman"/>
          </w:rPr>
          <w:t>Senate Journal</w:t>
        </w:r>
        <w:r w:rsidRPr="000E37D6">
          <w:rPr>
            <w:rStyle w:val="Hyperlink"/>
            <w:rFonts w:cs="Times New Roman"/>
          </w:rPr>
          <w:noBreakHyphen/>
          <w:t>page 13</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293A71">
        <w:rPr>
          <w:rFonts w:cs="Times New Roman"/>
        </w:rPr>
        <w:t>Ref</w:t>
      </w:r>
      <w:r>
        <w:rPr>
          <w:rFonts w:cs="Times New Roman"/>
        </w:rPr>
        <w:t xml:space="preserve">erred to Committee on </w:t>
      </w:r>
      <w:r w:rsidRPr="00293A71">
        <w:rPr>
          <w:rFonts w:cs="Times New Roman"/>
          <w:b/>
        </w:rPr>
        <w:t>Judiciary</w:t>
      </w:r>
      <w:r>
        <w:rPr>
          <w:rFonts w:cs="Times New Roman"/>
        </w:rPr>
        <w:t xml:space="preserve"> </w:t>
      </w:r>
      <w:r w:rsidRPr="00293A71">
        <w:rPr>
          <w:rFonts w:cs="Times New Roman"/>
        </w:rPr>
        <w:t>(</w:t>
      </w:r>
      <w:hyperlink r:id="rId15" w:history="1">
        <w:r w:rsidRPr="000E37D6">
          <w:rPr>
            <w:rStyle w:val="Hyperlink"/>
            <w:rFonts w:cs="Times New Roman"/>
          </w:rPr>
          <w:t>Senate Journal</w:t>
        </w:r>
        <w:r w:rsidRPr="000E37D6">
          <w:rPr>
            <w:rStyle w:val="Hyperlink"/>
            <w:rFonts w:cs="Times New Roman"/>
          </w:rPr>
          <w:noBreakHyphen/>
          <w:t>page 13</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t>Senate</w:t>
      </w:r>
      <w:r>
        <w:rPr>
          <w:rFonts w:cs="Times New Roman"/>
        </w:rPr>
        <w:tab/>
      </w:r>
      <w:r w:rsidRPr="00293A71">
        <w:rPr>
          <w:rFonts w:cs="Times New Roman"/>
        </w:rPr>
        <w:t>Referred to Subcommittee: Gregory (ch), Young, Kimpson</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293A71">
        <w:rPr>
          <w:rFonts w:cs="Times New Roman"/>
        </w:rPr>
        <w:t>Committee r</w:t>
      </w:r>
      <w:r>
        <w:rPr>
          <w:rFonts w:cs="Times New Roman"/>
        </w:rPr>
        <w:t xml:space="preserve">eport: Favorable with amendment </w:t>
      </w:r>
      <w:r w:rsidRPr="00293A71">
        <w:rPr>
          <w:rFonts w:cs="Times New Roman"/>
          <w:b/>
        </w:rPr>
        <w:t>Judiciary</w:t>
      </w:r>
      <w:r w:rsidRPr="00293A71">
        <w:rPr>
          <w:rFonts w:cs="Times New Roman"/>
        </w:rPr>
        <w:t xml:space="preserve"> (</w:t>
      </w:r>
      <w:hyperlink r:id="rId16" w:history="1">
        <w:r w:rsidRPr="000E37D6">
          <w:rPr>
            <w:rStyle w:val="Hyperlink"/>
            <w:rFonts w:cs="Times New Roman"/>
          </w:rPr>
          <w:t>Senate Journal</w:t>
        </w:r>
        <w:r w:rsidRPr="000E37D6">
          <w:rPr>
            <w:rStyle w:val="Hyperlink"/>
            <w:rFonts w:cs="Times New Roman"/>
          </w:rPr>
          <w:noBreakHyphen/>
          <w:t>page 12</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r>
      <w:r>
        <w:rPr>
          <w:rFonts w:cs="Times New Roman"/>
        </w:rPr>
        <w:tab/>
      </w:r>
      <w:r w:rsidRPr="00293A71">
        <w:rPr>
          <w:rFonts w:cs="Times New Roman"/>
        </w:rPr>
        <w:t>Scrivener's error corrected</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293A71">
        <w:rPr>
          <w:rFonts w:cs="Times New Roman"/>
        </w:rPr>
        <w:t>Committee Amendment Adopted (</w:t>
      </w:r>
      <w:hyperlink r:id="rId17" w:history="1">
        <w:r w:rsidRPr="000E37D6">
          <w:rPr>
            <w:rStyle w:val="Hyperlink"/>
            <w:rFonts w:cs="Times New Roman"/>
          </w:rPr>
          <w:t>Senate Journal</w:t>
        </w:r>
        <w:r w:rsidRPr="000E37D6">
          <w:rPr>
            <w:rStyle w:val="Hyperlink"/>
            <w:rFonts w:cs="Times New Roman"/>
          </w:rPr>
          <w:noBreakHyphen/>
          <w:t>page 31</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293A71">
        <w:rPr>
          <w:rFonts w:cs="Times New Roman"/>
        </w:rPr>
        <w:t>Amended (</w:t>
      </w:r>
      <w:hyperlink r:id="rId18" w:history="1">
        <w:r w:rsidRPr="000E37D6">
          <w:rPr>
            <w:rStyle w:val="Hyperlink"/>
            <w:rFonts w:cs="Times New Roman"/>
          </w:rPr>
          <w:t>Senate Journal</w:t>
        </w:r>
        <w:r w:rsidRPr="000E37D6">
          <w:rPr>
            <w:rStyle w:val="Hyperlink"/>
            <w:rFonts w:cs="Times New Roman"/>
          </w:rPr>
          <w:noBreakHyphen/>
          <w:t>page 25</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293A71">
        <w:rPr>
          <w:rFonts w:cs="Times New Roman"/>
        </w:rPr>
        <w:t>Read second time (</w:t>
      </w:r>
      <w:hyperlink r:id="rId19" w:history="1">
        <w:r w:rsidRPr="000E37D6">
          <w:rPr>
            <w:rStyle w:val="Hyperlink"/>
            <w:rFonts w:cs="Times New Roman"/>
          </w:rPr>
          <w:t>Senate Journal</w:t>
        </w:r>
        <w:r w:rsidRPr="000E37D6">
          <w:rPr>
            <w:rStyle w:val="Hyperlink"/>
            <w:rFonts w:cs="Times New Roman"/>
          </w:rPr>
          <w:noBreakHyphen/>
          <w:t>page 25</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293A71">
        <w:rPr>
          <w:rFonts w:cs="Times New Roman"/>
        </w:rPr>
        <w:t xml:space="preserve">Read third </w:t>
      </w:r>
      <w:r>
        <w:rPr>
          <w:rFonts w:cs="Times New Roman"/>
        </w:rPr>
        <w:t xml:space="preserve">time and returned to House with </w:t>
      </w:r>
      <w:r w:rsidRPr="00293A71">
        <w:rPr>
          <w:rFonts w:cs="Times New Roman"/>
        </w:rPr>
        <w:t>amendments (</w:t>
      </w:r>
      <w:hyperlink r:id="rId20" w:history="1">
        <w:r w:rsidRPr="000E37D6">
          <w:rPr>
            <w:rStyle w:val="Hyperlink"/>
            <w:rFonts w:cs="Times New Roman"/>
          </w:rPr>
          <w:t>Senate Journal</w:t>
        </w:r>
        <w:r w:rsidRPr="000E37D6">
          <w:rPr>
            <w:rStyle w:val="Hyperlink"/>
            <w:rFonts w:cs="Times New Roman"/>
          </w:rPr>
          <w:noBreakHyphen/>
          <w:t>page 51</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293A71">
        <w:rPr>
          <w:rFonts w:cs="Times New Roman"/>
        </w:rPr>
        <w:t>Roll call Ayes</w:t>
      </w:r>
      <w:r>
        <w:rPr>
          <w:rFonts w:cs="Times New Roman"/>
        </w:rPr>
        <w:noBreakHyphen/>
      </w:r>
      <w:r w:rsidRPr="00293A71">
        <w:rPr>
          <w:rFonts w:cs="Times New Roman"/>
        </w:rPr>
        <w:t>42  Nays</w:t>
      </w:r>
      <w:r>
        <w:rPr>
          <w:rFonts w:cs="Times New Roman"/>
        </w:rPr>
        <w:noBreakHyphen/>
      </w:r>
      <w:r w:rsidRPr="00293A71">
        <w:rPr>
          <w:rFonts w:cs="Times New Roman"/>
        </w:rPr>
        <w:t>1 (</w:t>
      </w:r>
      <w:hyperlink r:id="rId21" w:history="1">
        <w:r w:rsidRPr="000E37D6">
          <w:rPr>
            <w:rStyle w:val="Hyperlink"/>
            <w:rFonts w:cs="Times New Roman"/>
          </w:rPr>
          <w:t>Senate Journal</w:t>
        </w:r>
        <w:r w:rsidRPr="000E37D6">
          <w:rPr>
            <w:rStyle w:val="Hyperlink"/>
            <w:rFonts w:cs="Times New Roman"/>
          </w:rPr>
          <w:noBreakHyphen/>
          <w:t>page 51</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293A71">
        <w:rPr>
          <w:rFonts w:cs="Times New Roman"/>
        </w:rPr>
        <w:t>Concurred i</w:t>
      </w:r>
      <w:r>
        <w:rPr>
          <w:rFonts w:cs="Times New Roman"/>
        </w:rPr>
        <w:t xml:space="preserve">n Senate amendment and enrolled </w:t>
      </w:r>
      <w:r w:rsidRPr="00293A71">
        <w:rPr>
          <w:rFonts w:cs="Times New Roman"/>
        </w:rPr>
        <w:t>(</w:t>
      </w:r>
      <w:hyperlink r:id="rId22" w:history="1">
        <w:r w:rsidRPr="000E37D6">
          <w:rPr>
            <w:rStyle w:val="Hyperlink"/>
            <w:rFonts w:cs="Times New Roman"/>
          </w:rPr>
          <w:t>House Journal</w:t>
        </w:r>
        <w:r w:rsidRPr="000E37D6">
          <w:rPr>
            <w:rStyle w:val="Hyperlink"/>
            <w:rFonts w:cs="Times New Roman"/>
          </w:rPr>
          <w:noBreakHyphen/>
          <w:t>page 77</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293A71">
        <w:rPr>
          <w:rFonts w:cs="Times New Roman"/>
        </w:rPr>
        <w:t>Roll call Yeas</w:t>
      </w:r>
      <w:r>
        <w:rPr>
          <w:rFonts w:cs="Times New Roman"/>
        </w:rPr>
        <w:noBreakHyphen/>
      </w:r>
      <w:r w:rsidRPr="00293A71">
        <w:rPr>
          <w:rFonts w:cs="Times New Roman"/>
        </w:rPr>
        <w:t>96  Nays</w:t>
      </w:r>
      <w:r>
        <w:rPr>
          <w:rFonts w:cs="Times New Roman"/>
        </w:rPr>
        <w:noBreakHyphen/>
      </w:r>
      <w:r w:rsidRPr="00293A71">
        <w:rPr>
          <w:rFonts w:cs="Times New Roman"/>
        </w:rPr>
        <w:t>0 (</w:t>
      </w:r>
      <w:hyperlink r:id="rId23" w:history="1">
        <w:r w:rsidRPr="000E37D6">
          <w:rPr>
            <w:rStyle w:val="Hyperlink"/>
            <w:rFonts w:cs="Times New Roman"/>
          </w:rPr>
          <w:t>House Journal</w:t>
        </w:r>
        <w:r w:rsidRPr="000E37D6">
          <w:rPr>
            <w:rStyle w:val="Hyperlink"/>
            <w:rFonts w:cs="Times New Roman"/>
          </w:rPr>
          <w:noBreakHyphen/>
          <w:t>page 77</w:t>
        </w:r>
      </w:hyperlink>
      <w:r w:rsidRPr="00293A71">
        <w:rPr>
          <w:rFonts w:cs="Times New Roman"/>
        </w:rPr>
        <w:t>)</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293A71">
        <w:rPr>
          <w:rFonts w:cs="Times New Roman"/>
        </w:rPr>
        <w:t>Ratified R 299</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293A71">
        <w:rPr>
          <w:rFonts w:cs="Times New Roman"/>
        </w:rPr>
        <w:t>Signed By Governor</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293A71">
        <w:rPr>
          <w:rFonts w:cs="Times New Roman"/>
        </w:rPr>
        <w:t>Effective date 07/01/16</w:t>
      </w:r>
    </w:p>
    <w:p w:rsidR="00B6072A" w:rsidRDefault="00B6072A" w:rsidP="00B6072A">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293A71">
        <w:rPr>
          <w:rFonts w:cs="Times New Roman"/>
        </w:rPr>
        <w:t>Act No</w:t>
      </w:r>
      <w:r>
        <w:rPr>
          <w:rFonts w:cs="Times New Roman"/>
        </w:rPr>
        <w:t>. </w:t>
      </w:r>
      <w:r w:rsidRPr="00293A71">
        <w:rPr>
          <w:rFonts w:cs="Times New Roman"/>
        </w:rPr>
        <w:t>261</w:t>
      </w:r>
    </w:p>
    <w:p w:rsidR="00B6072A" w:rsidRDefault="00B6072A" w:rsidP="00B6072A">
      <w:pPr>
        <w:widowControl w:val="0"/>
        <w:tabs>
          <w:tab w:val="right" w:pos="1008"/>
          <w:tab w:val="left" w:pos="1152"/>
          <w:tab w:val="left" w:pos="1872"/>
          <w:tab w:val="left" w:pos="9187"/>
        </w:tabs>
        <w:ind w:left="2088" w:hanging="2088"/>
        <w:rPr>
          <w:rFonts w:cs="Times New Roman"/>
        </w:rPr>
      </w:pPr>
    </w:p>
    <w:p w:rsidR="00352534" w:rsidRPr="00352534" w:rsidRDefault="00352534" w:rsidP="00352534">
      <w:pPr>
        <w:widowControl w:val="0"/>
        <w:tabs>
          <w:tab w:val="right" w:pos="1008"/>
          <w:tab w:val="left" w:pos="1152"/>
          <w:tab w:val="left" w:pos="1872"/>
          <w:tab w:val="left" w:pos="9187"/>
        </w:tabs>
        <w:ind w:left="2088" w:hanging="2088"/>
        <w:rPr>
          <w:rFonts w:eastAsia="Times New Roman" w:cs="Times New Roman"/>
          <w:szCs w:val="20"/>
        </w:rPr>
      </w:pPr>
      <w:r w:rsidRPr="00352534">
        <w:rPr>
          <w:rFonts w:eastAsia="Times New Roman" w:cs="Times New Roman"/>
          <w:szCs w:val="20"/>
        </w:rPr>
        <w:t xml:space="preserve">View the latest </w:t>
      </w:r>
      <w:hyperlink r:id="rId24" w:history="1">
        <w:r w:rsidRPr="00352534">
          <w:rPr>
            <w:rFonts w:eastAsia="Times New Roman" w:cs="Times New Roman"/>
            <w:color w:val="0000FF" w:themeColor="hyperlink"/>
            <w:szCs w:val="20"/>
            <w:u w:val="single"/>
          </w:rPr>
          <w:t>legislative information</w:t>
        </w:r>
      </w:hyperlink>
      <w:r w:rsidRPr="00352534">
        <w:rPr>
          <w:rFonts w:eastAsia="Times New Roman" w:cs="Times New Roman"/>
          <w:szCs w:val="20"/>
        </w:rPr>
        <w:t xml:space="preserve"> at the website</w:t>
      </w:r>
    </w:p>
    <w:p w:rsidR="00352534" w:rsidRPr="00352534" w:rsidRDefault="00352534" w:rsidP="00352534">
      <w:pPr>
        <w:widowControl w:val="0"/>
        <w:tabs>
          <w:tab w:val="right" w:pos="1008"/>
          <w:tab w:val="left" w:pos="1152"/>
          <w:tab w:val="left" w:pos="1872"/>
          <w:tab w:val="left" w:pos="9187"/>
        </w:tabs>
        <w:ind w:left="2088" w:hanging="2088"/>
        <w:rPr>
          <w:rFonts w:eastAsia="Times New Roman" w:cs="Times New Roman"/>
          <w:szCs w:val="20"/>
        </w:rPr>
      </w:pPr>
    </w:p>
    <w:p w:rsidR="00352534" w:rsidRPr="00352534" w:rsidRDefault="00352534" w:rsidP="00352534">
      <w:pPr>
        <w:widowControl w:val="0"/>
        <w:tabs>
          <w:tab w:val="right" w:pos="1008"/>
          <w:tab w:val="left" w:pos="1152"/>
          <w:tab w:val="left" w:pos="1872"/>
          <w:tab w:val="left" w:pos="9187"/>
        </w:tabs>
        <w:ind w:left="2088" w:hanging="2088"/>
        <w:rPr>
          <w:rFonts w:eastAsia="Times New Roman" w:cs="Times New Roman"/>
          <w:szCs w:val="20"/>
        </w:rPr>
      </w:pP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2534">
        <w:rPr>
          <w:rFonts w:eastAsia="Times New Roman" w:cs="Times New Roman"/>
          <w:b/>
          <w:szCs w:val="20"/>
        </w:rPr>
        <w:lastRenderedPageBreak/>
        <w:t>VERSIONS OF THIS BILL</w:t>
      </w:r>
    </w:p>
    <w:p w:rsidR="00352534" w:rsidRPr="00352534" w:rsidRDefault="00352534"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2534" w:rsidRPr="00352534" w:rsidRDefault="000E37D6" w:rsidP="003525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352534" w:rsidRPr="00352534">
          <w:rPr>
            <w:rFonts w:eastAsia="Times New Roman" w:cs="Times New Roman"/>
            <w:color w:val="0000FF" w:themeColor="hyperlink"/>
            <w:szCs w:val="20"/>
            <w:u w:val="single"/>
          </w:rPr>
          <w:t>2/18/2015</w:t>
        </w:r>
      </w:hyperlink>
    </w:p>
    <w:p w:rsidR="00352534" w:rsidRPr="00352534" w:rsidRDefault="000E37D6" w:rsidP="00352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52534" w:rsidRPr="00352534">
          <w:rPr>
            <w:rFonts w:eastAsia="Times New Roman" w:cs="Times New Roman"/>
            <w:color w:val="0000FF" w:themeColor="hyperlink"/>
            <w:szCs w:val="20"/>
            <w:u w:val="single"/>
          </w:rPr>
          <w:t>4/22/2015</w:t>
        </w:r>
      </w:hyperlink>
    </w:p>
    <w:p w:rsidR="00352534" w:rsidRPr="00352534" w:rsidRDefault="000E37D6" w:rsidP="00352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52534" w:rsidRPr="00352534">
          <w:rPr>
            <w:rFonts w:eastAsia="Times New Roman" w:cs="Times New Roman"/>
            <w:color w:val="0000FF" w:themeColor="hyperlink"/>
            <w:szCs w:val="20"/>
            <w:u w:val="single"/>
          </w:rPr>
          <w:t>1/27/2016</w:t>
        </w:r>
      </w:hyperlink>
    </w:p>
    <w:p w:rsidR="00352534" w:rsidRPr="00352534" w:rsidRDefault="000E37D6" w:rsidP="00352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52534" w:rsidRPr="00352534">
          <w:rPr>
            <w:rFonts w:eastAsia="Times New Roman" w:cs="Times New Roman"/>
            <w:color w:val="0000FF" w:themeColor="hyperlink"/>
            <w:szCs w:val="20"/>
            <w:u w:val="single"/>
          </w:rPr>
          <w:t>1/28/2016</w:t>
        </w:r>
      </w:hyperlink>
    </w:p>
    <w:p w:rsidR="00352534" w:rsidRPr="00352534" w:rsidRDefault="000E37D6" w:rsidP="00352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52534" w:rsidRPr="00352534">
          <w:rPr>
            <w:rFonts w:eastAsia="Times New Roman" w:cs="Times New Roman"/>
            <w:color w:val="0000FF" w:themeColor="hyperlink"/>
            <w:szCs w:val="20"/>
            <w:u w:val="single"/>
          </w:rPr>
          <w:t>4/13/2016</w:t>
        </w:r>
      </w:hyperlink>
    </w:p>
    <w:p w:rsidR="00352534" w:rsidRPr="00352534" w:rsidRDefault="000E37D6" w:rsidP="00352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52534" w:rsidRPr="00352534">
          <w:rPr>
            <w:rFonts w:eastAsia="Times New Roman" w:cs="Times New Roman"/>
            <w:color w:val="0000FF" w:themeColor="hyperlink"/>
            <w:szCs w:val="20"/>
            <w:u w:val="single"/>
          </w:rPr>
          <w:t>5/24/2016</w:t>
        </w:r>
      </w:hyperlink>
    </w:p>
    <w:p w:rsidR="00352534" w:rsidRPr="00352534" w:rsidRDefault="00352534" w:rsidP="00352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52534" w:rsidRDefault="00352534" w:rsidP="003525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52534" w:rsidSect="00352534">
          <w:pgSz w:w="12240" w:h="15840" w:code="1"/>
          <w:pgMar w:top="1080" w:right="1440" w:bottom="1080" w:left="1440" w:header="720" w:footer="720" w:gutter="0"/>
          <w:pgNumType w:start="1"/>
          <w:cols w:space="720"/>
          <w:noEndnote/>
          <w:docGrid w:linePitch="360"/>
        </w:sectPr>
      </w:pPr>
    </w:p>
    <w:p w:rsidR="00605B69"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(A261, R299, H3682)</w:t>
      </w:r>
    </w:p>
    <w:p w:rsidR="00605B69" w:rsidRPr="008836A5"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5B69" w:rsidRPr="00352534"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52534">
        <w:rPr>
          <w:rFonts w:cs="Times New Roman"/>
          <w:b/>
          <w:color w:val="000000" w:themeColor="text1"/>
          <w:szCs w:val="36"/>
        </w:rPr>
        <w:t xml:space="preserve">AN ACT </w:t>
      </w:r>
      <w:r w:rsidRPr="00352534">
        <w:rPr>
          <w:rFonts w:cs="Times New Roman"/>
          <w:b/>
          <w:color w:val="000000" w:themeColor="text1"/>
          <w:u w:color="000000" w:themeColor="text1"/>
        </w:rPr>
        <w:t>TO AMEND THE CODE OF LAWS OF SOUTH CAROLINA, 1976, BY ADDING CHAPTER 4 TO TITLE 39 SO AS TO ENACT THE “BAD FAITH ASSERTION OF PATENT INFRINGEMENT ACT”, TO PROVIDE THAT BAD FAITH ASSERTIONS OF PATENT INFRINGEMENTS ARE PROHIBITED, TO DEFINE TERMS, TO PROVIDE FOR A PRIVATE CAUSE OF ACTION IN STATE COURTS BY A RECIPIENT OF A BAD FAITH ASSERTION TO PATENT INFRINGEMENT, TO PROVIDE THAT ENFORCEMENT ACTIONS MAY BE BROUGHT BY THE ATTORNEY GENERAL AND WILFUL AND KNOWING VIOLATIONS MAY RESULT IN CIVIL PENALTIES OF NOT MORE THAN FIFTY THOUSAND DOLLARS FOR EACH VIOLATION, TO PROVIDE FOR THE FACTORS THAT A COURT MAY CONSIDER WHEN MAKING A BAD FAITH DETERMINATION, AND TO PROVIDE EXCEPTIONS.</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6C0B">
        <w:rPr>
          <w:rFonts w:cs="Times New Roman"/>
        </w:rPr>
        <w:t>Be it enacted by the General Assembly of the State of South Carolina:</w:t>
      </w:r>
    </w:p>
    <w:p w:rsidR="00605B69"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B69" w:rsidRPr="00D03A9A"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Intent of the General Assembly</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rPr>
        <w:t>SECTION</w:t>
      </w:r>
      <w:r w:rsidRPr="008A6C0B">
        <w:rPr>
          <w:rFonts w:cs="Times New Roman"/>
        </w:rPr>
        <w:tab/>
        <w:t>1.</w:t>
      </w:r>
      <w:r w:rsidRPr="008A6C0B">
        <w:rPr>
          <w:rFonts w:cs="Times New Roman"/>
        </w:rPr>
        <w:tab/>
      </w:r>
      <w:r w:rsidRPr="008A6C0B">
        <w:rPr>
          <w:rFonts w:cs="Times New Roman"/>
          <w:color w:val="000000" w:themeColor="text1"/>
          <w:u w:color="000000" w:themeColor="text1"/>
        </w:rPr>
        <w:t>It is the intent of the General Assembly to encourage research, development, and innovation.  Doing so provides jobs for South Carolina</w:t>
      </w:r>
      <w:r w:rsidRPr="00D03A9A">
        <w:rPr>
          <w:rFonts w:cs="Times New Roman"/>
          <w:color w:val="000000" w:themeColor="text1"/>
          <w:u w:color="000000" w:themeColor="text1"/>
        </w:rPr>
        <w:t>’</w:t>
      </w:r>
      <w:r w:rsidRPr="008A6C0B">
        <w:rPr>
          <w:rFonts w:cs="Times New Roman"/>
          <w:color w:val="000000" w:themeColor="text1"/>
          <w:u w:color="000000" w:themeColor="text1"/>
        </w:rPr>
        <w:t>s residents and boosts the economy of the State.  Patents encourage research, development, and innovation.  Holders of patents have legitimate rights to protect and enforce their patents.  It is not the intent of the General Assembly to interfere with the good faith enforcement of patents or good faith patent litigation.  The assertion of infringement claims made in bad faith is conduct that hurts South Carolina</w:t>
      </w:r>
      <w:r w:rsidRPr="00D03A9A">
        <w:rPr>
          <w:rFonts w:cs="Times New Roman"/>
          <w:color w:val="000000" w:themeColor="text1"/>
          <w:u w:color="000000" w:themeColor="text1"/>
        </w:rPr>
        <w:t>’</w:t>
      </w:r>
      <w:r w:rsidRPr="008A6C0B">
        <w:rPr>
          <w:rFonts w:cs="Times New Roman"/>
          <w:color w:val="000000" w:themeColor="text1"/>
          <w:u w:color="000000" w:themeColor="text1"/>
        </w:rPr>
        <w:t>s businesses and citizens.  Businesses must use funds to respond to these threats of bad faith assertions of patent infringement and those funds are no longer available to invest, to produce new products, to expand, or to hire new workers.  This harms the citizens and the economy of South Carolina.  Through the provisions of this narrowly focused chapter, the General Assembly, in order to protect South Carolina</w:t>
      </w:r>
      <w:r w:rsidRPr="00D03A9A">
        <w:rPr>
          <w:rFonts w:cs="Times New Roman"/>
          <w:color w:val="000000" w:themeColor="text1"/>
          <w:u w:color="000000" w:themeColor="text1"/>
        </w:rPr>
        <w:t>’</w:t>
      </w:r>
      <w:r w:rsidRPr="008A6C0B">
        <w:rPr>
          <w:rFonts w:cs="Times New Roman"/>
          <w:color w:val="000000" w:themeColor="text1"/>
          <w:u w:color="000000" w:themeColor="text1"/>
        </w:rPr>
        <w:t>s businesses, citizens, and economy, seeks to facilitate the efficient and prompt resolution of the conduct of persons asserting bad faith patent infringement claims and not to interfere with legitimate patent infringement claims.</w:t>
      </w:r>
    </w:p>
    <w:p w:rsidR="00605B69"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B69" w:rsidRPr="00D03A9A" w:rsidRDefault="00605B69" w:rsidP="00605B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Bad Faith Assertion of Patent Infringement Act</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SECTION</w:t>
      </w:r>
      <w:r w:rsidRPr="008A6C0B">
        <w:rPr>
          <w:rFonts w:cs="Times New Roman"/>
          <w:color w:val="000000" w:themeColor="text1"/>
          <w:u w:color="000000" w:themeColor="text1"/>
        </w:rPr>
        <w:tab/>
        <w:t>2.</w:t>
      </w:r>
      <w:r w:rsidRPr="008A6C0B">
        <w:rPr>
          <w:rFonts w:cs="Times New Roman"/>
          <w:color w:val="000000" w:themeColor="text1"/>
          <w:u w:color="000000" w:themeColor="text1"/>
        </w:rPr>
        <w:tab/>
        <w:t>Title 39 of the 1976 Code is amended by adding:</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A6C0B">
        <w:rPr>
          <w:rFonts w:cs="Times New Roman"/>
          <w:color w:val="000000" w:themeColor="text1"/>
          <w:u w:color="000000" w:themeColor="text1"/>
        </w:rPr>
        <w:t>“CHAPTER 4</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A6C0B">
        <w:rPr>
          <w:rFonts w:cs="Times New Roman"/>
          <w:color w:val="000000" w:themeColor="text1"/>
          <w:u w:color="000000" w:themeColor="text1"/>
        </w:rPr>
        <w:t>Abusive Assertions Relating to Intellectual Property</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Section 39</w:t>
      </w:r>
      <w:r>
        <w:rPr>
          <w:rFonts w:cs="Times New Roman"/>
          <w:color w:val="000000" w:themeColor="text1"/>
          <w:u w:color="000000" w:themeColor="text1"/>
        </w:rPr>
        <w:noBreakHyphen/>
      </w:r>
      <w:r w:rsidRPr="008A6C0B">
        <w:rPr>
          <w:rFonts w:cs="Times New Roman"/>
          <w:color w:val="000000" w:themeColor="text1"/>
          <w:u w:color="000000" w:themeColor="text1"/>
        </w:rPr>
        <w:t>4</w:t>
      </w:r>
      <w:r>
        <w:rPr>
          <w:rFonts w:cs="Times New Roman"/>
          <w:color w:val="000000" w:themeColor="text1"/>
          <w:u w:color="000000" w:themeColor="text1"/>
        </w:rPr>
        <w:noBreakHyphen/>
      </w:r>
      <w:r w:rsidRPr="008A6C0B">
        <w:rPr>
          <w:rFonts w:cs="Times New Roman"/>
          <w:color w:val="000000" w:themeColor="text1"/>
          <w:u w:color="000000" w:themeColor="text1"/>
        </w:rPr>
        <w:t>100.</w:t>
      </w:r>
      <w:r w:rsidRPr="008A6C0B">
        <w:rPr>
          <w:rFonts w:cs="Times New Roman"/>
          <w:color w:val="000000" w:themeColor="text1"/>
          <w:u w:color="000000" w:themeColor="text1"/>
        </w:rPr>
        <w:tab/>
        <w:t xml:space="preserve">This act shall be known as the </w:t>
      </w:r>
      <w:r w:rsidRPr="00D03A9A">
        <w:rPr>
          <w:rFonts w:cs="Times New Roman"/>
          <w:color w:val="000000" w:themeColor="text1"/>
          <w:u w:color="000000" w:themeColor="text1"/>
        </w:rPr>
        <w:t>‘</w:t>
      </w:r>
      <w:r w:rsidRPr="008A6C0B">
        <w:rPr>
          <w:rFonts w:cs="Times New Roman"/>
          <w:color w:val="000000" w:themeColor="text1"/>
          <w:u w:color="000000" w:themeColor="text1"/>
        </w:rPr>
        <w:t>Bad Faith Assertion of Patent Infringement Act</w:t>
      </w:r>
      <w:r w:rsidRPr="00D03A9A">
        <w:rPr>
          <w:rFonts w:cs="Times New Roman"/>
          <w:color w:val="000000" w:themeColor="text1"/>
          <w:u w:color="000000" w:themeColor="text1"/>
        </w:rPr>
        <w:t>’</w:t>
      </w:r>
      <w:r w:rsidRPr="008A6C0B">
        <w:rPr>
          <w:rFonts w:cs="Times New Roman"/>
          <w:color w:val="000000" w:themeColor="text1"/>
          <w:u w:color="000000" w:themeColor="text1"/>
        </w:rPr>
        <w:t>.</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color w:val="000000" w:themeColor="text1"/>
          <w:u w:color="000000" w:themeColor="text1"/>
        </w:rPr>
        <w:tab/>
      </w:r>
      <w:r w:rsidRPr="008A6C0B">
        <w:rPr>
          <w:rFonts w:cs="Times New Roman"/>
          <w:snapToGrid w:val="0"/>
        </w:rPr>
        <w:t>Section 39</w:t>
      </w:r>
      <w:r>
        <w:rPr>
          <w:rFonts w:cs="Times New Roman"/>
          <w:snapToGrid w:val="0"/>
        </w:rPr>
        <w:noBreakHyphen/>
      </w:r>
      <w:r w:rsidRPr="008A6C0B">
        <w:rPr>
          <w:rFonts w:cs="Times New Roman"/>
          <w:snapToGrid w:val="0"/>
        </w:rPr>
        <w:t>4</w:t>
      </w:r>
      <w:r>
        <w:rPr>
          <w:rFonts w:cs="Times New Roman"/>
          <w:snapToGrid w:val="0"/>
        </w:rPr>
        <w:noBreakHyphen/>
      </w:r>
      <w:r w:rsidRPr="008A6C0B">
        <w:rPr>
          <w:rFonts w:cs="Times New Roman"/>
          <w:snapToGrid w:val="0"/>
        </w:rPr>
        <w:t>101.</w:t>
      </w:r>
      <w:r w:rsidRPr="008A6C0B">
        <w:rPr>
          <w:rFonts w:cs="Times New Roman"/>
          <w:snapToGrid w:val="0"/>
        </w:rPr>
        <w:tab/>
      </w:r>
      <w:r w:rsidRPr="008A6C0B">
        <w:rPr>
          <w:rFonts w:cs="Times New Roman"/>
          <w:u w:color="000000" w:themeColor="text1"/>
        </w:rPr>
        <w:t>For purposes of this chapter:</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t>(1)</w:t>
      </w:r>
      <w:r w:rsidRPr="008A6C0B">
        <w:rPr>
          <w:rFonts w:cs="Times New Roman"/>
          <w:u w:color="000000" w:themeColor="text1"/>
        </w:rPr>
        <w:tab/>
      </w:r>
      <w:r w:rsidRPr="00D03A9A">
        <w:rPr>
          <w:rFonts w:cs="Times New Roman"/>
          <w:u w:color="000000" w:themeColor="text1"/>
        </w:rPr>
        <w:t>‘</w:t>
      </w:r>
      <w:r w:rsidRPr="008A6C0B">
        <w:rPr>
          <w:rFonts w:cs="Times New Roman"/>
          <w:u w:color="000000" w:themeColor="text1"/>
        </w:rPr>
        <w:t>Affiliate</w:t>
      </w:r>
      <w:r w:rsidRPr="00D03A9A">
        <w:rPr>
          <w:rFonts w:cs="Times New Roman"/>
          <w:u w:color="000000" w:themeColor="text1"/>
        </w:rPr>
        <w:t>’</w:t>
      </w:r>
      <w:r w:rsidRPr="008A6C0B">
        <w:rPr>
          <w:rFonts w:cs="Times New Roman"/>
          <w:u w:color="000000" w:themeColor="text1"/>
        </w:rPr>
        <w:t xml:space="preserve"> means a business establishment, a business, or other legal entity that wholly or substantially owns, is wholly or substantially owned by, or is under common ownership with another entity.</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t>(2)</w:t>
      </w:r>
      <w:r w:rsidRPr="008A6C0B">
        <w:rPr>
          <w:rFonts w:cs="Times New Roman"/>
          <w:u w:color="000000" w:themeColor="text1"/>
        </w:rPr>
        <w:tab/>
      </w:r>
      <w:r w:rsidRPr="00D03A9A">
        <w:rPr>
          <w:rFonts w:cs="Times New Roman"/>
          <w:u w:color="000000" w:themeColor="text1"/>
        </w:rPr>
        <w:t>‘</w:t>
      </w:r>
      <w:r w:rsidRPr="008A6C0B">
        <w:rPr>
          <w:rFonts w:cs="Times New Roman"/>
          <w:u w:color="000000" w:themeColor="text1"/>
        </w:rPr>
        <w:t>Affiliated person</w:t>
      </w:r>
      <w:r w:rsidRPr="00D03A9A">
        <w:rPr>
          <w:rFonts w:cs="Times New Roman"/>
          <w:u w:color="000000" w:themeColor="text1"/>
        </w:rPr>
        <w:t>’</w:t>
      </w:r>
      <w:r w:rsidRPr="008A6C0B">
        <w:rPr>
          <w:rFonts w:cs="Times New Roman"/>
          <w:u w:color="000000" w:themeColor="text1"/>
        </w:rPr>
        <w:t xml:space="preserve"> means a person under common ownership or control of an intended recipient.</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t>(3)</w:t>
      </w:r>
      <w:r w:rsidRPr="008A6C0B">
        <w:rPr>
          <w:rFonts w:cs="Times New Roman"/>
          <w:u w:color="000000" w:themeColor="text1"/>
        </w:rPr>
        <w:tab/>
      </w:r>
      <w:r w:rsidRPr="00D03A9A">
        <w:rPr>
          <w:rFonts w:cs="Times New Roman"/>
          <w:u w:color="000000" w:themeColor="text1"/>
        </w:rPr>
        <w:t>‘</w:t>
      </w:r>
      <w:r w:rsidRPr="008A6C0B">
        <w:rPr>
          <w:rFonts w:cs="Times New Roman"/>
          <w:u w:color="000000" w:themeColor="text1"/>
        </w:rPr>
        <w:t>Intended recipient</w:t>
      </w:r>
      <w:r w:rsidRPr="00D03A9A">
        <w:rPr>
          <w:rFonts w:cs="Times New Roman"/>
          <w:u w:color="000000" w:themeColor="text1"/>
        </w:rPr>
        <w:t>’</w:t>
      </w:r>
      <w:r w:rsidRPr="008A6C0B">
        <w:rPr>
          <w:rFonts w:cs="Times New Roman"/>
          <w:u w:color="000000" w:themeColor="text1"/>
        </w:rPr>
        <w:t xml:space="preserve"> means a person who purchases, rents, leases, or otherwise obtains a product or service in the commercial market that is not for resale in the ordinary business and that is, or later becomes, the subject of a patent infringement allegation.</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t>(4)</w:t>
      </w:r>
      <w:r w:rsidRPr="008A6C0B">
        <w:rPr>
          <w:rFonts w:cs="Times New Roman"/>
          <w:u w:color="000000" w:themeColor="text1"/>
        </w:rPr>
        <w:tab/>
      </w:r>
      <w:r w:rsidRPr="00D03A9A">
        <w:rPr>
          <w:rFonts w:cs="Times New Roman"/>
          <w:u w:color="000000" w:themeColor="text1"/>
        </w:rPr>
        <w:t>‘</w:t>
      </w:r>
      <w:r w:rsidRPr="008A6C0B">
        <w:rPr>
          <w:rFonts w:cs="Times New Roman"/>
          <w:u w:color="000000" w:themeColor="text1"/>
        </w:rPr>
        <w:t>Manufacturer</w:t>
      </w:r>
      <w:r w:rsidRPr="00D03A9A">
        <w:rPr>
          <w:rFonts w:cs="Times New Roman"/>
          <w:u w:color="000000" w:themeColor="text1"/>
        </w:rPr>
        <w:t>’</w:t>
      </w:r>
      <w:r w:rsidRPr="008A6C0B">
        <w:rPr>
          <w:rFonts w:cs="Times New Roman"/>
          <w:u w:color="000000" w:themeColor="text1"/>
        </w:rPr>
        <w:t xml:space="preserve"> means a person, a business establishment, a business, or other legal entity engaged in a business to design, formulate, produce, create, make, construct, assemble, or rebuild products or goods, or components thereof.</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u w:color="000000" w:themeColor="text1"/>
        </w:rPr>
        <w:tab/>
        <w:t>(5)</w:t>
      </w:r>
      <w:r w:rsidRPr="008A6C0B">
        <w:rPr>
          <w:rFonts w:cs="Times New Roman"/>
          <w:u w:color="000000" w:themeColor="text1"/>
        </w:rPr>
        <w:tab/>
      </w:r>
      <w:r w:rsidRPr="00D03A9A">
        <w:rPr>
          <w:rFonts w:cs="Times New Roman"/>
          <w:u w:color="000000" w:themeColor="text1"/>
        </w:rPr>
        <w:t>‘</w:t>
      </w:r>
      <w:r w:rsidRPr="008A6C0B">
        <w:rPr>
          <w:rFonts w:cs="Times New Roman"/>
          <w:u w:color="000000" w:themeColor="text1"/>
        </w:rPr>
        <w:t>Person</w:t>
      </w:r>
      <w:r w:rsidRPr="00D03A9A">
        <w:rPr>
          <w:rFonts w:cs="Times New Roman"/>
          <w:u w:color="000000" w:themeColor="text1"/>
        </w:rPr>
        <w:t>’</w:t>
      </w:r>
      <w:r w:rsidRPr="008A6C0B">
        <w:rPr>
          <w:rFonts w:cs="Times New Roman"/>
          <w:u w:color="000000" w:themeColor="text1"/>
        </w:rPr>
        <w:t xml:space="preserve"> means any natural person, partnership, corporation, company, trust, business entity or association, and any agent, employee, partner, officer, director, member, associate, or trustee thereof.</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Section 39</w:t>
      </w:r>
      <w:r>
        <w:rPr>
          <w:rFonts w:cs="Times New Roman"/>
          <w:color w:val="000000" w:themeColor="text1"/>
          <w:u w:color="000000" w:themeColor="text1"/>
        </w:rPr>
        <w:noBreakHyphen/>
      </w:r>
      <w:r w:rsidRPr="008A6C0B">
        <w:rPr>
          <w:rFonts w:cs="Times New Roman"/>
          <w:color w:val="000000" w:themeColor="text1"/>
          <w:u w:color="000000" w:themeColor="text1"/>
        </w:rPr>
        <w:t>4</w:t>
      </w:r>
      <w:r>
        <w:rPr>
          <w:rFonts w:cs="Times New Roman"/>
          <w:color w:val="000000" w:themeColor="text1"/>
          <w:u w:color="000000" w:themeColor="text1"/>
        </w:rPr>
        <w:noBreakHyphen/>
      </w:r>
      <w:r w:rsidRPr="008A6C0B">
        <w:rPr>
          <w:rFonts w:cs="Times New Roman"/>
          <w:color w:val="000000" w:themeColor="text1"/>
          <w:u w:color="000000" w:themeColor="text1"/>
        </w:rPr>
        <w:t>120.</w:t>
      </w:r>
      <w:r w:rsidRPr="008A6C0B">
        <w:rPr>
          <w:rFonts w:cs="Times New Roman"/>
          <w:color w:val="000000" w:themeColor="text1"/>
          <w:u w:color="000000" w:themeColor="text1"/>
        </w:rPr>
        <w:tab/>
        <w:t>(A)</w:t>
      </w:r>
      <w:r w:rsidRPr="008A6C0B">
        <w:rPr>
          <w:rFonts w:cs="Times New Roman"/>
          <w:color w:val="000000" w:themeColor="text1"/>
          <w:u w:color="000000" w:themeColor="text1"/>
        </w:rPr>
        <w:tab/>
        <w:t>It is a violation of this chapter for a person, in connection with the assertion of a United States patent, to send, or cause any person to send, any written or electronic communication that states that the intended recipient or any affiliated person is infringing or has infringed a patent and bears liability or owes compensation to another person, if:</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t>(1)</w:t>
      </w:r>
      <w:r w:rsidRPr="008A6C0B">
        <w:rPr>
          <w:rFonts w:cs="Times New Roman"/>
          <w:color w:val="000000" w:themeColor="text1"/>
          <w:u w:color="000000" w:themeColor="text1"/>
        </w:rPr>
        <w:tab/>
        <w:t>the communication falsely threatens litigation if compensation is not paid or the infringement issue is not otherwise resolved and there is a consistent pattern of such threats having been issued and no litigation having been filed;</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t>(2)</w:t>
      </w:r>
      <w:r w:rsidRPr="008A6C0B">
        <w:rPr>
          <w:rFonts w:cs="Times New Roman"/>
          <w:color w:val="000000" w:themeColor="text1"/>
          <w:u w:color="000000" w:themeColor="text1"/>
        </w:rPr>
        <w:tab/>
        <w:t>the communication falsely states that litigation has been filed against the intended recipient or any affiliated person; or</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t>(3)</w:t>
      </w:r>
      <w:r w:rsidRPr="008A6C0B">
        <w:rPr>
          <w:rFonts w:cs="Times New Roman"/>
          <w:color w:val="000000" w:themeColor="text1"/>
          <w:u w:color="000000" w:themeColor="text1"/>
        </w:rPr>
        <w:tab/>
        <w:t>the assertions contained in the communication lack a reasonable basis in fact or law because:</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(a)</w:t>
      </w:r>
      <w:r w:rsidRPr="008A6C0B">
        <w:rPr>
          <w:rFonts w:cs="Times New Roman"/>
          <w:color w:val="000000" w:themeColor="text1"/>
          <w:u w:color="000000" w:themeColor="text1"/>
        </w:rPr>
        <w:tab/>
        <w:t>the person asserting the patent is not a person, or does not represent a person, with the current right to license the patent to, or to enforce the patent against, the intended recipient or any affiliated person;</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(b)</w:t>
      </w:r>
      <w:r w:rsidRPr="008A6C0B">
        <w:rPr>
          <w:rFonts w:cs="Times New Roman"/>
          <w:color w:val="000000" w:themeColor="text1"/>
          <w:u w:color="000000" w:themeColor="text1"/>
        </w:rPr>
        <w:tab/>
        <w:t>the communication seeks compensation for a patent that has been held to be invalid or unenforceable in a final, unappealable or unappealed judicial or administrative decision;</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(c)</w:t>
      </w:r>
      <w:r w:rsidRPr="008A6C0B">
        <w:rPr>
          <w:rFonts w:cs="Times New Roman"/>
          <w:color w:val="000000" w:themeColor="text1"/>
          <w:u w:color="000000" w:themeColor="text1"/>
        </w:rPr>
        <w:tab/>
        <w:t xml:space="preserve">the communication seeks compensation on account of activities undertaken after the patent has expired;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(d)</w:t>
      </w:r>
      <w:r w:rsidRPr="008A6C0B">
        <w:rPr>
          <w:rFonts w:cs="Times New Roman"/>
          <w:color w:val="000000" w:themeColor="text1"/>
          <w:u w:color="000000" w:themeColor="text1"/>
        </w:rPr>
        <w:tab/>
        <w:t>the content of the communication fails to include such information necessary to inform an intended recipient or any affiliated person about the patent assertion by failing to include any one of the following:</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(i) </w:t>
      </w:r>
      <w:r w:rsidRPr="008A6C0B">
        <w:rPr>
          <w:rFonts w:cs="Times New Roman"/>
          <w:color w:val="000000" w:themeColor="text1"/>
          <w:u w:color="000000" w:themeColor="text1"/>
        </w:rPr>
        <w:tab/>
        <w:t>the identity of the person asserting a right to license the patent to, or enforce the patent against, the intended recipient or any affiliated person;</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(ii)</w:t>
      </w:r>
      <w:r w:rsidRPr="008A6C0B">
        <w:rPr>
          <w:rFonts w:cs="Times New Roman"/>
          <w:color w:val="000000" w:themeColor="text1"/>
          <w:u w:color="000000" w:themeColor="text1"/>
        </w:rPr>
        <w:tab/>
        <w:t>the patent number issued by the United States Patent and Trademark Office alleged to have been infringed; or</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(iii)</w:t>
      </w:r>
      <w:r w:rsidRPr="008A6C0B">
        <w:rPr>
          <w:rFonts w:cs="Times New Roman"/>
          <w:color w:val="000000" w:themeColor="text1"/>
          <w:u w:color="000000" w:themeColor="text1"/>
        </w:rPr>
        <w:tab/>
        <w:t>the factual allegations concerning the specific areas in which the intended recipient or affiliated person</w:t>
      </w:r>
      <w:r w:rsidRPr="00D03A9A">
        <w:rPr>
          <w:rFonts w:cs="Times New Roman"/>
          <w:color w:val="000000" w:themeColor="text1"/>
          <w:u w:color="000000" w:themeColor="text1"/>
        </w:rPr>
        <w:t>’</w:t>
      </w:r>
      <w:r w:rsidRPr="008A6C0B">
        <w:rPr>
          <w:rFonts w:cs="Times New Roman"/>
          <w:color w:val="000000" w:themeColor="text1"/>
          <w:u w:color="000000" w:themeColor="text1"/>
        </w:rPr>
        <w:t>s products, services, or technology infringed the patent or are covered by the claims in the patent;</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(e)</w:t>
      </w:r>
      <w:r w:rsidRPr="008A6C0B">
        <w:rPr>
          <w:rFonts w:cs="Times New Roman"/>
          <w:color w:val="000000" w:themeColor="text1"/>
          <w:u w:color="000000" w:themeColor="text1"/>
        </w:rPr>
        <w:tab/>
        <w:t>the communication lacks the information described in subitem (d), the intended recipient requests the information, and the person fails to provide the information within a reasonable period of time;</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(f)</w:t>
      </w:r>
      <w:r w:rsidRPr="008A6C0B">
        <w:rPr>
          <w:rFonts w:cs="Times New Roman"/>
          <w:color w:val="000000" w:themeColor="text1"/>
          <w:u w:color="000000" w:themeColor="text1"/>
        </w:rPr>
        <w:tab/>
        <w:t>before sending the communication, the person failed to conduct an analysis comparing the claims in the patent to the intended recipient</w:t>
      </w:r>
      <w:r w:rsidRPr="00D03A9A">
        <w:rPr>
          <w:rFonts w:cs="Times New Roman"/>
          <w:color w:val="000000" w:themeColor="text1"/>
          <w:u w:color="000000" w:themeColor="text1"/>
        </w:rPr>
        <w:t>’</w:t>
      </w:r>
      <w:r w:rsidRPr="008A6C0B">
        <w:rPr>
          <w:rFonts w:cs="Times New Roman"/>
          <w:color w:val="000000" w:themeColor="text1"/>
          <w:u w:color="000000" w:themeColor="text1"/>
        </w:rPr>
        <w:t xml:space="preserve">s products, services, and technology, or the analysis was done but does not identify specific areas in which the products, services, and technology are covered by the claims in the patent;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(g)</w:t>
      </w:r>
      <w:r w:rsidRPr="008A6C0B">
        <w:rPr>
          <w:rFonts w:cs="Times New Roman"/>
          <w:color w:val="000000" w:themeColor="text1"/>
          <w:u w:color="000000" w:themeColor="text1"/>
        </w:rPr>
        <w:tab/>
        <w:t xml:space="preserve">the person in the communication demands payment of a license fee or response within an unreasonably short period of time;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(h)</w:t>
      </w:r>
      <w:r w:rsidRPr="008A6C0B">
        <w:rPr>
          <w:rFonts w:cs="Times New Roman"/>
          <w:color w:val="000000" w:themeColor="text1"/>
          <w:u w:color="000000" w:themeColor="text1"/>
        </w:rPr>
        <w:tab/>
        <w:t xml:space="preserve">the person in the communication offers to license the patent for an amount that is not based on a reasonable estimate of the value of the license; or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r>
      <w:r w:rsidRPr="008A6C0B">
        <w:rPr>
          <w:rFonts w:cs="Times New Roman"/>
          <w:color w:val="000000" w:themeColor="text1"/>
          <w:u w:color="000000" w:themeColor="text1"/>
        </w:rPr>
        <w:tab/>
        <w:t xml:space="preserve">(i) </w:t>
      </w:r>
      <w:r w:rsidRPr="008A6C0B">
        <w:rPr>
          <w:rFonts w:cs="Times New Roman"/>
          <w:color w:val="000000" w:themeColor="text1"/>
          <w:u w:color="000000" w:themeColor="text1"/>
        </w:rPr>
        <w:tab/>
        <w:t>the communication</w:t>
      </w:r>
      <w:r w:rsidRPr="00D03A9A">
        <w:rPr>
          <w:rFonts w:cs="Times New Roman"/>
          <w:color w:val="000000" w:themeColor="text1"/>
          <w:u w:color="000000" w:themeColor="text1"/>
        </w:rPr>
        <w:t>’</w:t>
      </w:r>
      <w:r w:rsidRPr="008A6C0B">
        <w:rPr>
          <w:rFonts w:cs="Times New Roman"/>
          <w:color w:val="000000" w:themeColor="text1"/>
          <w:u w:color="000000" w:themeColor="text1"/>
        </w:rPr>
        <w:t>s claim or assertion relies on an interpretation of the patent that was disclaimed during prosecution and the person making the claim or assertion knows or should have known about the disclaimer, or would have known about the disclaimer if the person reviewed the patent</w:t>
      </w:r>
      <w:r w:rsidRPr="00D03A9A">
        <w:rPr>
          <w:rFonts w:cs="Times New Roman"/>
          <w:color w:val="000000" w:themeColor="text1"/>
          <w:u w:color="000000" w:themeColor="text1"/>
        </w:rPr>
        <w:t>’</w:t>
      </w:r>
      <w:r w:rsidRPr="008A6C0B">
        <w:rPr>
          <w:rFonts w:cs="Times New Roman"/>
          <w:color w:val="000000" w:themeColor="text1"/>
          <w:u w:color="000000" w:themeColor="text1"/>
        </w:rPr>
        <w:t>s prosecution history.</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(B)</w:t>
      </w:r>
      <w:r w:rsidRPr="008A6C0B">
        <w:rPr>
          <w:rFonts w:cs="Times New Roman"/>
          <w:color w:val="000000" w:themeColor="text1"/>
          <w:u w:color="000000" w:themeColor="text1"/>
        </w:rPr>
        <w:tab/>
        <w:t>Nothing in this section shall be construed to be a violation of this chapter for any person who owns or has the right to license or enforce a patent to:</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t>(1)</w:t>
      </w:r>
      <w:r w:rsidRPr="008A6C0B">
        <w:rPr>
          <w:rFonts w:cs="Times New Roman"/>
          <w:color w:val="000000" w:themeColor="text1"/>
          <w:u w:color="000000" w:themeColor="text1"/>
        </w:rPr>
        <w:tab/>
        <w:t>advise others of that ownership or right of license or enforcement;</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t>(2)</w:t>
      </w:r>
      <w:r w:rsidRPr="008A6C0B">
        <w:rPr>
          <w:rFonts w:cs="Times New Roman"/>
          <w:color w:val="000000" w:themeColor="text1"/>
          <w:u w:color="000000" w:themeColor="text1"/>
        </w:rPr>
        <w:tab/>
        <w:t xml:space="preserve">communicate to others that a patent is available for license or sale;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t>(3)</w:t>
      </w:r>
      <w:r w:rsidRPr="008A6C0B">
        <w:rPr>
          <w:rFonts w:cs="Times New Roman"/>
          <w:color w:val="000000" w:themeColor="text1"/>
          <w:u w:color="000000" w:themeColor="text1"/>
        </w:rPr>
        <w:tab/>
        <w:t>notify another of the infringement of the patent; or</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r>
      <w:r w:rsidRPr="008A6C0B">
        <w:rPr>
          <w:rFonts w:cs="Times New Roman"/>
          <w:color w:val="000000" w:themeColor="text1"/>
          <w:u w:color="000000" w:themeColor="text1"/>
        </w:rPr>
        <w:tab/>
        <w:t>(4)</w:t>
      </w:r>
      <w:r w:rsidRPr="008A6C0B">
        <w:rPr>
          <w:rFonts w:cs="Times New Roman"/>
          <w:color w:val="000000" w:themeColor="text1"/>
          <w:u w:color="000000" w:themeColor="text1"/>
        </w:rPr>
        <w:tab/>
        <w:t>seek compensation on account of past or present infringement, or for a license to the patent, provided that the person is not acting in bad faith.</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color w:val="000000" w:themeColor="text1"/>
          <w:u w:color="000000" w:themeColor="text1"/>
        </w:rPr>
        <w:tab/>
      </w:r>
      <w:r w:rsidRPr="008A6C0B">
        <w:rPr>
          <w:rFonts w:cs="Times New Roman"/>
          <w:u w:color="000000" w:themeColor="text1"/>
        </w:rPr>
        <w:t>(C)</w:t>
      </w:r>
      <w:r w:rsidRPr="008A6C0B">
        <w:rPr>
          <w:rFonts w:cs="Times New Roman"/>
          <w:u w:color="000000" w:themeColor="text1"/>
        </w:rPr>
        <w:tab/>
        <w:t>The provisions of this chapter shall not apply to any written or electronic communication sent by:</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r>
      <w:r w:rsidRPr="008A6C0B">
        <w:rPr>
          <w:rFonts w:cs="Times New Roman"/>
          <w:u w:color="000000" w:themeColor="text1"/>
        </w:rPr>
        <w:tab/>
        <w:t>(1)</w:t>
      </w:r>
      <w:r w:rsidRPr="008A6C0B">
        <w:rPr>
          <w:rFonts w:cs="Times New Roman"/>
          <w:u w:color="000000" w:themeColor="text1"/>
        </w:rPr>
        <w:tab/>
        <w:t>any owner of a patent who is using the patent in connection with substantial research, development, production, manufacturing, processing or delivery of products or materials;</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r>
      <w:r w:rsidRPr="008A6C0B">
        <w:rPr>
          <w:rFonts w:cs="Times New Roman"/>
          <w:u w:color="000000" w:themeColor="text1"/>
        </w:rPr>
        <w:tab/>
        <w:t>(2)</w:t>
      </w:r>
      <w:r w:rsidRPr="008A6C0B">
        <w:rPr>
          <w:rFonts w:cs="Times New Roman"/>
          <w:u w:color="000000" w:themeColor="text1"/>
        </w:rPr>
        <w:tab/>
        <w:t>a manufacturer or its affiliate;</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r>
      <w:r w:rsidRPr="008A6C0B">
        <w:rPr>
          <w:rFonts w:cs="Times New Roman"/>
          <w:u w:color="000000" w:themeColor="text1"/>
        </w:rPr>
        <w:tab/>
        <w:t>(3)</w:t>
      </w:r>
      <w:r w:rsidRPr="008A6C0B">
        <w:rPr>
          <w:rFonts w:cs="Times New Roman"/>
          <w:u w:color="000000" w:themeColor="text1"/>
        </w:rPr>
        <w:tab/>
        <w:t>any institution of higher education as that term is defined in Section 101 of the Higher Education Act of 1963 (20 U.S.C. 1001);</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6C0B">
        <w:rPr>
          <w:rFonts w:cs="Times New Roman"/>
          <w:u w:color="000000" w:themeColor="text1"/>
        </w:rPr>
        <w:tab/>
      </w:r>
      <w:r w:rsidRPr="008A6C0B">
        <w:rPr>
          <w:rFonts w:cs="Times New Roman"/>
          <w:u w:color="000000" w:themeColor="text1"/>
        </w:rPr>
        <w:tab/>
        <w:t>(4)</w:t>
      </w:r>
      <w:r w:rsidRPr="008A6C0B">
        <w:rPr>
          <w:rFonts w:cs="Times New Roman"/>
          <w:u w:color="000000" w:themeColor="text1"/>
        </w:rPr>
        <w:tab/>
        <w:t>any technology transfer organization whose primary purpose is to facilitate the commercialization of technology developed by an institution of higher education; or</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u w:color="000000" w:themeColor="text1"/>
        </w:rPr>
        <w:tab/>
      </w:r>
      <w:r w:rsidRPr="008A6C0B">
        <w:rPr>
          <w:rFonts w:cs="Times New Roman"/>
          <w:u w:color="000000" w:themeColor="text1"/>
        </w:rPr>
        <w:tab/>
        <w:t>(5)</w:t>
      </w:r>
      <w:r w:rsidRPr="008A6C0B">
        <w:rPr>
          <w:rFonts w:cs="Times New Roman"/>
          <w:u w:color="000000" w:themeColor="text1"/>
        </w:rPr>
        <w:tab/>
        <w:t>any person or business entity seeking a claim for relief arising under 35 U.S.C. Section 271(e)(2).</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Section 39</w:t>
      </w:r>
      <w:r>
        <w:rPr>
          <w:rFonts w:cs="Times New Roman"/>
          <w:color w:val="000000" w:themeColor="text1"/>
          <w:u w:color="000000" w:themeColor="text1"/>
        </w:rPr>
        <w:noBreakHyphen/>
      </w:r>
      <w:r w:rsidRPr="008A6C0B">
        <w:rPr>
          <w:rFonts w:cs="Times New Roman"/>
          <w:color w:val="000000" w:themeColor="text1"/>
          <w:u w:color="000000" w:themeColor="text1"/>
        </w:rPr>
        <w:t>4</w:t>
      </w:r>
      <w:r>
        <w:rPr>
          <w:rFonts w:cs="Times New Roman"/>
          <w:color w:val="000000" w:themeColor="text1"/>
          <w:u w:color="000000" w:themeColor="text1"/>
        </w:rPr>
        <w:noBreakHyphen/>
      </w:r>
      <w:r w:rsidRPr="008A6C0B">
        <w:rPr>
          <w:rFonts w:cs="Times New Roman"/>
          <w:color w:val="000000" w:themeColor="text1"/>
          <w:u w:color="000000" w:themeColor="text1"/>
        </w:rPr>
        <w:t>130.</w:t>
      </w:r>
      <w:r w:rsidRPr="008A6C0B">
        <w:rPr>
          <w:rFonts w:cs="Times New Roman"/>
          <w:color w:val="000000" w:themeColor="text1"/>
          <w:u w:color="000000" w:themeColor="text1"/>
        </w:rPr>
        <w:tab/>
        <w:t>(A)</w:t>
      </w:r>
      <w:r w:rsidRPr="008A6C0B">
        <w:rPr>
          <w:rFonts w:cs="Times New Roman"/>
          <w:color w:val="000000" w:themeColor="text1"/>
          <w:u w:color="000000" w:themeColor="text1"/>
        </w:rPr>
        <w:tab/>
        <w:t>The Attorney General has the same authority under this chapter as provided in Chapter 5, Title 39, to make rules, conduct civil investigations, enter into assurances of discontinuance, and bring civil actions, which include actions for injunctive relief or civil penalties.</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(B)</w:t>
      </w:r>
      <w:r w:rsidRPr="008A6C0B">
        <w:rPr>
          <w:rFonts w:cs="Times New Roman"/>
          <w:color w:val="000000" w:themeColor="text1"/>
          <w:u w:color="000000" w:themeColor="text1"/>
        </w:rPr>
        <w:tab/>
        <w:t xml:space="preserve">For purposes of this chapter, if a court finds that a person wilfully violated the provisions of this chapter, and the person committing the violation knew or should have known that its conduct was a violation of this chapter, the Attorney General, upon motion to the court, may recover on behalf of the State a civil penalty not to exceed fifty thousand dollars for each violation.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(C)</w:t>
      </w:r>
      <w:r w:rsidRPr="008A6C0B">
        <w:rPr>
          <w:rFonts w:cs="Times New Roman"/>
          <w:color w:val="000000" w:themeColor="text1"/>
          <w:u w:color="000000" w:themeColor="text1"/>
        </w:rPr>
        <w:tab/>
        <w:t>Upon motion by the Attorney General and a finding by the court that the Attorney General has established a reasonable likelihood that a person has violated Section 39</w:t>
      </w:r>
      <w:r>
        <w:rPr>
          <w:rFonts w:cs="Times New Roman"/>
          <w:color w:val="000000" w:themeColor="text1"/>
          <w:u w:color="000000" w:themeColor="text1"/>
        </w:rPr>
        <w:noBreakHyphen/>
      </w:r>
      <w:r w:rsidRPr="008A6C0B">
        <w:rPr>
          <w:rFonts w:cs="Times New Roman"/>
          <w:color w:val="000000" w:themeColor="text1"/>
          <w:u w:color="000000" w:themeColor="text1"/>
        </w:rPr>
        <w:t>4</w:t>
      </w:r>
      <w:r>
        <w:rPr>
          <w:rFonts w:cs="Times New Roman"/>
          <w:color w:val="000000" w:themeColor="text1"/>
          <w:u w:color="000000" w:themeColor="text1"/>
        </w:rPr>
        <w:noBreakHyphen/>
      </w:r>
      <w:r w:rsidRPr="008A6C0B">
        <w:rPr>
          <w:rFonts w:cs="Times New Roman"/>
          <w:color w:val="000000" w:themeColor="text1"/>
          <w:u w:color="000000" w:themeColor="text1"/>
        </w:rPr>
        <w:t xml:space="preserve">120, the court may require the person to post a bond in an amount equal to an amount reasonably likely to be recovered pursuant to subsection (A), conditioned upon payment of any amounts finally determined to be due to the Attorney General.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(D)</w:t>
      </w:r>
      <w:r w:rsidRPr="008A6C0B">
        <w:rPr>
          <w:rFonts w:cs="Times New Roman"/>
          <w:color w:val="000000" w:themeColor="text1"/>
          <w:u w:color="000000" w:themeColor="text1"/>
        </w:rPr>
        <w:tab/>
        <w:t>This chapter shall not be construed to limit the rights and remedies available to the State or to any person under any other law and shall not alter or restrict the Attorney General</w:t>
      </w:r>
      <w:r w:rsidRPr="00D03A9A">
        <w:rPr>
          <w:rFonts w:cs="Times New Roman"/>
          <w:color w:val="000000" w:themeColor="text1"/>
          <w:u w:color="000000" w:themeColor="text1"/>
        </w:rPr>
        <w:t>’</w:t>
      </w:r>
      <w:r w:rsidRPr="008A6C0B">
        <w:rPr>
          <w:rFonts w:cs="Times New Roman"/>
          <w:color w:val="000000" w:themeColor="text1"/>
          <w:u w:color="000000" w:themeColor="text1"/>
        </w:rPr>
        <w:t>s authority with regard to conduct involving assertions of patent infringement.</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Section 39</w:t>
      </w:r>
      <w:r>
        <w:rPr>
          <w:rFonts w:cs="Times New Roman"/>
          <w:color w:val="000000" w:themeColor="text1"/>
          <w:u w:color="000000" w:themeColor="text1"/>
        </w:rPr>
        <w:noBreakHyphen/>
      </w:r>
      <w:r w:rsidRPr="008A6C0B">
        <w:rPr>
          <w:rFonts w:cs="Times New Roman"/>
          <w:color w:val="000000" w:themeColor="text1"/>
          <w:u w:color="000000" w:themeColor="text1"/>
        </w:rPr>
        <w:t>4</w:t>
      </w:r>
      <w:r>
        <w:rPr>
          <w:rFonts w:cs="Times New Roman"/>
          <w:color w:val="000000" w:themeColor="text1"/>
          <w:u w:color="000000" w:themeColor="text1"/>
        </w:rPr>
        <w:noBreakHyphen/>
      </w:r>
      <w:r w:rsidRPr="008A6C0B">
        <w:rPr>
          <w:rFonts w:cs="Times New Roman"/>
          <w:color w:val="000000" w:themeColor="text1"/>
          <w:u w:color="000000" w:themeColor="text1"/>
        </w:rPr>
        <w:t>140.</w:t>
      </w:r>
      <w:r w:rsidRPr="008A6C0B">
        <w:rPr>
          <w:rFonts w:cs="Times New Roman"/>
          <w:color w:val="000000" w:themeColor="text1"/>
          <w:u w:color="000000" w:themeColor="text1"/>
        </w:rPr>
        <w:tab/>
        <w:t>(A)</w:t>
      </w:r>
      <w:r w:rsidRPr="008A6C0B">
        <w:rPr>
          <w:rFonts w:cs="Times New Roman"/>
          <w:color w:val="000000" w:themeColor="text1"/>
          <w:u w:color="000000" w:themeColor="text1"/>
        </w:rPr>
        <w:tab/>
        <w:t>An intended recipient that is aggrieved by a violation of Section 39</w:t>
      </w:r>
      <w:r>
        <w:rPr>
          <w:rFonts w:cs="Times New Roman"/>
          <w:color w:val="000000" w:themeColor="text1"/>
          <w:u w:color="000000" w:themeColor="text1"/>
        </w:rPr>
        <w:noBreakHyphen/>
      </w:r>
      <w:r w:rsidRPr="008A6C0B">
        <w:rPr>
          <w:rFonts w:cs="Times New Roman"/>
          <w:color w:val="000000" w:themeColor="text1"/>
          <w:u w:color="000000" w:themeColor="text1"/>
        </w:rPr>
        <w:t>4</w:t>
      </w:r>
      <w:r>
        <w:rPr>
          <w:rFonts w:cs="Times New Roman"/>
          <w:color w:val="000000" w:themeColor="text1"/>
          <w:u w:color="000000" w:themeColor="text1"/>
        </w:rPr>
        <w:noBreakHyphen/>
      </w:r>
      <w:r w:rsidRPr="008A6C0B">
        <w:rPr>
          <w:rFonts w:cs="Times New Roman"/>
          <w:color w:val="000000" w:themeColor="text1"/>
          <w:u w:color="000000" w:themeColor="text1"/>
        </w:rPr>
        <w:t>120 may assert a cause of action under the provisions of Section 39</w:t>
      </w:r>
      <w:r>
        <w:rPr>
          <w:rFonts w:cs="Times New Roman"/>
          <w:color w:val="000000" w:themeColor="text1"/>
          <w:u w:color="000000" w:themeColor="text1"/>
        </w:rPr>
        <w:noBreakHyphen/>
      </w:r>
      <w:r w:rsidRPr="008A6C0B">
        <w:rPr>
          <w:rFonts w:cs="Times New Roman"/>
          <w:color w:val="000000" w:themeColor="text1"/>
          <w:u w:color="000000" w:themeColor="text1"/>
        </w:rPr>
        <w:t>5</w:t>
      </w:r>
      <w:r>
        <w:rPr>
          <w:rFonts w:cs="Times New Roman"/>
          <w:color w:val="000000" w:themeColor="text1"/>
          <w:u w:color="000000" w:themeColor="text1"/>
        </w:rPr>
        <w:noBreakHyphen/>
      </w:r>
      <w:r w:rsidRPr="008A6C0B">
        <w:rPr>
          <w:rFonts w:cs="Times New Roman"/>
          <w:color w:val="000000" w:themeColor="text1"/>
          <w:u w:color="000000" w:themeColor="text1"/>
        </w:rPr>
        <w:t xml:space="preserve">140 in the circuit court where venue is proper.  A court may award remedies provided in Chapter 5, Title 39 to an aggrieved intended recipient that prevails in an action brought pursuant to this chapter.  </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6C0B">
        <w:rPr>
          <w:rFonts w:cs="Times New Roman"/>
          <w:color w:val="000000" w:themeColor="text1"/>
          <w:u w:color="000000" w:themeColor="text1"/>
        </w:rPr>
        <w:tab/>
        <w:t>(B)</w:t>
      </w:r>
      <w:r w:rsidRPr="008A6C0B">
        <w:rPr>
          <w:rFonts w:cs="Times New Roman"/>
          <w:color w:val="000000" w:themeColor="text1"/>
          <w:u w:color="000000" w:themeColor="text1"/>
        </w:rPr>
        <w:tab/>
        <w:t>An intended recipient may assert a violation of this chapter as a defense in any litigation alleging patent infringement and, if a court finds that a person has made a bad faith assertion of patent infringement, the court may award remedies to the recipient as if the recipient had brought an action pursuant to subsection (A).</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A6C0B">
        <w:rPr>
          <w:rFonts w:cs="Times New Roman"/>
          <w:color w:val="000000" w:themeColor="text1"/>
          <w:u w:color="000000" w:themeColor="text1"/>
        </w:rPr>
        <w:tab/>
        <w:t>(C)</w:t>
      </w:r>
      <w:r w:rsidRPr="008A6C0B">
        <w:rPr>
          <w:rFonts w:cs="Times New Roman"/>
          <w:color w:val="000000" w:themeColor="text1"/>
          <w:u w:color="000000" w:themeColor="text1"/>
        </w:rPr>
        <w:tab/>
        <w:t>Upon motion by an intended recipient and a finding by the court that an intended recipient has established a reasonable likelihood that a person has violated Section 39</w:t>
      </w:r>
      <w:r>
        <w:rPr>
          <w:rFonts w:cs="Times New Roman"/>
          <w:color w:val="000000" w:themeColor="text1"/>
          <w:u w:color="000000" w:themeColor="text1"/>
        </w:rPr>
        <w:noBreakHyphen/>
      </w:r>
      <w:r w:rsidRPr="008A6C0B">
        <w:rPr>
          <w:rFonts w:cs="Times New Roman"/>
          <w:color w:val="000000" w:themeColor="text1"/>
          <w:u w:color="000000" w:themeColor="text1"/>
        </w:rPr>
        <w:t>4</w:t>
      </w:r>
      <w:r>
        <w:rPr>
          <w:rFonts w:cs="Times New Roman"/>
          <w:color w:val="000000" w:themeColor="text1"/>
          <w:u w:color="000000" w:themeColor="text1"/>
        </w:rPr>
        <w:noBreakHyphen/>
      </w:r>
      <w:r w:rsidRPr="008A6C0B">
        <w:rPr>
          <w:rFonts w:cs="Times New Roman"/>
          <w:color w:val="000000" w:themeColor="text1"/>
          <w:u w:color="000000" w:themeColor="text1"/>
        </w:rPr>
        <w:t xml:space="preserve">120, the court may require the person to post a bond in an amount equal to an amount reasonably likely to be recovered pursuant to subsection (A), conditioned upon payment of any amounts finally determined to be due to the recipient.  A hearing must be held if either party so requests.  A bond ordered pursuant to this chapter shall not exceed two hundred fifty thousand dollars.  The court may waive the bond requirement if it finds the person has available assets equal to the </w:t>
      </w:r>
      <w:r w:rsidRPr="008A6C0B">
        <w:rPr>
          <w:rFonts w:cs="Times New Roman"/>
          <w:snapToGrid w:val="0"/>
        </w:rPr>
        <w:t>amount of the proposed bond or for other good cause shown.</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sidRPr="008A6C0B">
        <w:rPr>
          <w:rFonts w:cs="Times New Roman"/>
          <w:snapToGrid w:val="0"/>
        </w:rPr>
        <w:t>Section 39</w:t>
      </w:r>
      <w:r>
        <w:rPr>
          <w:rFonts w:cs="Times New Roman"/>
          <w:snapToGrid w:val="0"/>
        </w:rPr>
        <w:noBreakHyphen/>
      </w:r>
      <w:r w:rsidRPr="008A6C0B">
        <w:rPr>
          <w:rFonts w:cs="Times New Roman"/>
          <w:snapToGrid w:val="0"/>
        </w:rPr>
        <w:t>4</w:t>
      </w:r>
      <w:r>
        <w:rPr>
          <w:rFonts w:cs="Times New Roman"/>
          <w:snapToGrid w:val="0"/>
        </w:rPr>
        <w:noBreakHyphen/>
      </w:r>
      <w:r w:rsidRPr="008A6C0B">
        <w:rPr>
          <w:rFonts w:cs="Times New Roman"/>
          <w:snapToGrid w:val="0"/>
        </w:rPr>
        <w:t>150.</w:t>
      </w:r>
      <w:r w:rsidRPr="008A6C0B">
        <w:rPr>
          <w:rFonts w:cs="Times New Roman"/>
          <w:snapToGrid w:val="0"/>
        </w:rPr>
        <w:tab/>
        <w:t>The provisions of this chapter are repealed as of July 1, 2021, unless and until the General Assembly reauthorizes the provisions by joint resolution.  A vote on the reauthorization may occur within two years preceding the date of repeal.”</w:t>
      </w:r>
    </w:p>
    <w:p w:rsidR="00605B69"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05B69" w:rsidRPr="00D03A9A"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05B69" w:rsidRPr="008A6C0B"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SECTION</w:t>
      </w:r>
      <w:r>
        <w:rPr>
          <w:rFonts w:cs="Times New Roman"/>
          <w:snapToGrid w:val="0"/>
        </w:rPr>
        <w:tab/>
        <w:t>3.</w:t>
      </w:r>
      <w:r w:rsidRPr="008A6C0B">
        <w:rPr>
          <w:rFonts w:cs="Times New Roman"/>
          <w:snapToGrid w:val="0"/>
        </w:rPr>
        <w:tab/>
        <w:t>This act takes effect July 1, 2016.</w:t>
      </w:r>
    </w:p>
    <w:p w:rsidR="00605B69"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05B69" w:rsidRDefault="00605B69"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605B69" w:rsidRDefault="00605B69" w:rsidP="00605B69">
      <w:pPr>
        <w:jc w:val="both"/>
        <w:rPr>
          <w:color w:val="000000" w:themeColor="text1"/>
        </w:rPr>
      </w:pPr>
    </w:p>
    <w:p w:rsidR="00605B69" w:rsidRDefault="00605B69" w:rsidP="00605B69">
      <w:pPr>
        <w:jc w:val="both"/>
        <w:rPr>
          <w:color w:val="000000" w:themeColor="text1"/>
        </w:rPr>
      </w:pPr>
      <w:r>
        <w:rPr>
          <w:color w:val="000000" w:themeColor="text1"/>
        </w:rPr>
        <w:t>Approved the 9</w:t>
      </w:r>
      <w:r w:rsidRPr="00903D24">
        <w:rPr>
          <w:color w:val="000000" w:themeColor="text1"/>
          <w:vertAlign w:val="superscript"/>
        </w:rPr>
        <w:t>th</w:t>
      </w:r>
      <w:r>
        <w:rPr>
          <w:color w:val="000000" w:themeColor="text1"/>
        </w:rPr>
        <w:t xml:space="preserve"> day of June, 2016. </w:t>
      </w:r>
    </w:p>
    <w:p w:rsidR="00605B69" w:rsidRDefault="00605B69" w:rsidP="00605B69">
      <w:pPr>
        <w:jc w:val="center"/>
        <w:rPr>
          <w:color w:val="000000" w:themeColor="text1"/>
        </w:rPr>
      </w:pPr>
    </w:p>
    <w:p w:rsidR="00605B69" w:rsidRDefault="00605B69" w:rsidP="00605B69">
      <w:pPr>
        <w:jc w:val="center"/>
        <w:rPr>
          <w:color w:val="000000" w:themeColor="text1"/>
        </w:rPr>
      </w:pPr>
      <w:r>
        <w:rPr>
          <w:color w:val="000000" w:themeColor="text1"/>
        </w:rPr>
        <w:t>__________</w:t>
      </w:r>
    </w:p>
    <w:p w:rsidR="00352534" w:rsidRPr="00EC0151" w:rsidRDefault="00352534" w:rsidP="00605B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52534" w:rsidRPr="00EC0151" w:rsidSect="00352534">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84" w:rsidRDefault="00541F84" w:rsidP="007D5FAC">
      <w:r>
        <w:separator/>
      </w:r>
    </w:p>
  </w:endnote>
  <w:endnote w:type="continuationSeparator" w:id="0">
    <w:p w:rsidR="00541F84" w:rsidRDefault="00541F8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34" w:rsidRPr="00352534" w:rsidRDefault="00352534" w:rsidP="0035253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05B69">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534" w:rsidRDefault="00352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84" w:rsidRDefault="00541F84" w:rsidP="007D5FAC">
      <w:r>
        <w:separator/>
      </w:r>
    </w:p>
  </w:footnote>
  <w:footnote w:type="continuationSeparator" w:id="0">
    <w:p w:rsidR="00541F84" w:rsidRDefault="00541F8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682"/>
    <w:docVar w:name="ActSecretary" w:val="Pair"/>
    <w:docVar w:name="ActSIdno" w:val="(183)  3682DG16"/>
    <w:docVar w:name="clipname" w:val="3682DG16"/>
    <w:docVar w:name="dvBillNumber" w:val="3682"/>
    <w:docVar w:name="dvBillNumberPrefix" w:val="H"/>
    <w:docVar w:name="dvOriginalBody" w:val="House"/>
    <w:docVar w:name="HOUSEACTFULLPATH" w:val="L:\COUNCIL\ACTS\3682DG16.DOCX"/>
    <w:docVar w:name="OrigHOUSEBillNo" w:val="3682"/>
    <w:docVar w:name="WhatActtype" w:val="AN ACT"/>
  </w:docVars>
  <w:rsids>
    <w:rsidRoot w:val="00541F84"/>
    <w:rsid w:val="00002DE0"/>
    <w:rsid w:val="00004C7F"/>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44E4"/>
    <w:rsid w:val="000D6F51"/>
    <w:rsid w:val="000E37D6"/>
    <w:rsid w:val="000F240D"/>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48FA"/>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0B32"/>
    <w:rsid w:val="001F1CCC"/>
    <w:rsid w:val="001F36BF"/>
    <w:rsid w:val="001F729C"/>
    <w:rsid w:val="00200C6E"/>
    <w:rsid w:val="00204492"/>
    <w:rsid w:val="002068E6"/>
    <w:rsid w:val="00206EF4"/>
    <w:rsid w:val="00206FB0"/>
    <w:rsid w:val="00212CD6"/>
    <w:rsid w:val="00215235"/>
    <w:rsid w:val="002235DF"/>
    <w:rsid w:val="00223E0F"/>
    <w:rsid w:val="002240A6"/>
    <w:rsid w:val="00226AE7"/>
    <w:rsid w:val="00231146"/>
    <w:rsid w:val="002321B6"/>
    <w:rsid w:val="00234401"/>
    <w:rsid w:val="00234E70"/>
    <w:rsid w:val="002367D4"/>
    <w:rsid w:val="00241B81"/>
    <w:rsid w:val="00241C04"/>
    <w:rsid w:val="002423EA"/>
    <w:rsid w:val="00242F15"/>
    <w:rsid w:val="00250828"/>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2534"/>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1F84"/>
    <w:rsid w:val="0054323B"/>
    <w:rsid w:val="00555859"/>
    <w:rsid w:val="00556774"/>
    <w:rsid w:val="00560EBF"/>
    <w:rsid w:val="00561A2C"/>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259"/>
    <w:rsid w:val="005D50CE"/>
    <w:rsid w:val="005D5723"/>
    <w:rsid w:val="005D6054"/>
    <w:rsid w:val="005E07AD"/>
    <w:rsid w:val="005E143E"/>
    <w:rsid w:val="005E36AC"/>
    <w:rsid w:val="005F79FF"/>
    <w:rsid w:val="00602ACC"/>
    <w:rsid w:val="006055BC"/>
    <w:rsid w:val="00605B69"/>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2C2"/>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5A1"/>
    <w:rsid w:val="007746C2"/>
    <w:rsid w:val="00775B87"/>
    <w:rsid w:val="00784A23"/>
    <w:rsid w:val="007946C3"/>
    <w:rsid w:val="007A0E6D"/>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55A4"/>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072A"/>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20AD"/>
    <w:rsid w:val="00C230AF"/>
    <w:rsid w:val="00C34674"/>
    <w:rsid w:val="00C3483A"/>
    <w:rsid w:val="00C45263"/>
    <w:rsid w:val="00C46AB4"/>
    <w:rsid w:val="00C55195"/>
    <w:rsid w:val="00C63697"/>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3A9A"/>
    <w:rsid w:val="00D06DCC"/>
    <w:rsid w:val="00D1180E"/>
    <w:rsid w:val="00D132DB"/>
    <w:rsid w:val="00D13C21"/>
    <w:rsid w:val="00D16DAA"/>
    <w:rsid w:val="00D17AD0"/>
    <w:rsid w:val="00D238A9"/>
    <w:rsid w:val="00D24F96"/>
    <w:rsid w:val="00D25595"/>
    <w:rsid w:val="00D31442"/>
    <w:rsid w:val="00D3443A"/>
    <w:rsid w:val="00D366FE"/>
    <w:rsid w:val="00D375C1"/>
    <w:rsid w:val="00D45624"/>
    <w:rsid w:val="00D45634"/>
    <w:rsid w:val="00D474CA"/>
    <w:rsid w:val="00D50FB9"/>
    <w:rsid w:val="00D56467"/>
    <w:rsid w:val="00D63C04"/>
    <w:rsid w:val="00D650D0"/>
    <w:rsid w:val="00D75E1A"/>
    <w:rsid w:val="00D76225"/>
    <w:rsid w:val="00D7706E"/>
    <w:rsid w:val="00D80303"/>
    <w:rsid w:val="00D9130B"/>
    <w:rsid w:val="00D92268"/>
    <w:rsid w:val="00D93882"/>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0151"/>
    <w:rsid w:val="00EC47CE"/>
    <w:rsid w:val="00EC4D8C"/>
    <w:rsid w:val="00ED4871"/>
    <w:rsid w:val="00EE2F67"/>
    <w:rsid w:val="00EE663F"/>
    <w:rsid w:val="00EF0391"/>
    <w:rsid w:val="00EF0E4A"/>
    <w:rsid w:val="00EF3301"/>
    <w:rsid w:val="00EF6923"/>
    <w:rsid w:val="00F06D58"/>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7A0"/>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1F4F4BD-DEC6-4F29-8572-A6DA191E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525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03A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9A"/>
    <w:rPr>
      <w:rFonts w:ascii="Segoe UI" w:hAnsi="Segoe UI" w:cs="Segoe UI"/>
      <w:sz w:val="18"/>
      <w:szCs w:val="18"/>
    </w:rPr>
  </w:style>
  <w:style w:type="table" w:styleId="TableGrid">
    <w:name w:val="Table Grid"/>
    <w:basedOn w:val="TableNormal"/>
    <w:uiPriority w:val="59"/>
    <w:rsid w:val="0025082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5253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04C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8-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6\05-24-16.docx" TargetMode="External"/><Relationship Id="rId26" Type="http://schemas.openxmlformats.org/officeDocument/2006/relationships/hyperlink" Target="file:///p:\pprever\2015-16\3682_20150422.docx" TargetMode="External"/><Relationship Id="rId3" Type="http://schemas.openxmlformats.org/officeDocument/2006/relationships/settings" Target="settings.xml"/><Relationship Id="rId21" Type="http://schemas.openxmlformats.org/officeDocument/2006/relationships/hyperlink" Target="file:///h:\SJ%20Archive\2016\06-02-16.docx" TargetMode="External"/><Relationship Id="rId34" Type="http://schemas.openxmlformats.org/officeDocument/2006/relationships/theme" Target="theme/theme1.xml"/><Relationship Id="rId7" Type="http://schemas.openxmlformats.org/officeDocument/2006/relationships/hyperlink" Target="file:///h:\HJ%20Archive\2015\02-18-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6\04-13-16.docx" TargetMode="External"/><Relationship Id="rId25" Type="http://schemas.openxmlformats.org/officeDocument/2006/relationships/hyperlink" Target="file:///p:\pprever\2015-16\3682_2015021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1-27-16.docx" TargetMode="External"/><Relationship Id="rId20" Type="http://schemas.openxmlformats.org/officeDocument/2006/relationships/hyperlink" Target="file:///h:\SJ%20Archive\2016\06-02-16.docx" TargetMode="External"/><Relationship Id="rId29" Type="http://schemas.openxmlformats.org/officeDocument/2006/relationships/hyperlink" Target="file:///p:\pprever\2015-16\3682_2016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http://www.scstatehouse.gov/billsearch.php?billnumbers=3682&amp;session=121&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h:\HJ%20Archive\2016\06-02-16.docx" TargetMode="External"/><Relationship Id="rId28" Type="http://schemas.openxmlformats.org/officeDocument/2006/relationships/hyperlink" Target="file:///p:\pprever\2015-16\3682_20160128.docx" TargetMode="External"/><Relationship Id="rId10" Type="http://schemas.openxmlformats.org/officeDocument/2006/relationships/hyperlink" Target="file:///h:\HJ%20Archive\2015\04-28-15.docx" TargetMode="External"/><Relationship Id="rId19" Type="http://schemas.openxmlformats.org/officeDocument/2006/relationships/hyperlink" Target="file:///h:\SJ%20Archive\2016\05-24-1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SJ%20Archive\2015\04-29-15.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3682_20160127.docx" TargetMode="External"/><Relationship Id="rId30" Type="http://schemas.openxmlformats.org/officeDocument/2006/relationships/hyperlink" Target="file:///p:\pprever\2015-16\3682_201605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834F-1372-430A-A9D0-9033FE4D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2266</Words>
  <Characters>12919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3682: Bad Faith Assertion of Patent Infringement Act - South Carolina Legislature Online</dc:title>
  <dc:subject/>
  <dc:creator>sharonpair</dc:creator>
  <cp:keywords/>
  <dc:description/>
  <cp:lastModifiedBy>N Cumfer</cp:lastModifiedBy>
  <cp:revision>2</cp:revision>
  <cp:lastPrinted>2016-06-02T21:21:00Z</cp:lastPrinted>
  <dcterms:created xsi:type="dcterms:W3CDTF">2016-12-02T18:15:00Z</dcterms:created>
  <dcterms:modified xsi:type="dcterms:W3CDTF">2016-12-02T18:15:00Z</dcterms:modified>
</cp:coreProperties>
</file>