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585E" w:rsidRPr="0017585E" w:rsidRDefault="0017585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7585E">
        <w:rPr>
          <w:rFonts w:eastAsia="Times New Roman" w:cs="Times New Roman"/>
          <w:b/>
          <w:szCs w:val="20"/>
        </w:rPr>
        <w:t>South Carolina General Assembly</w:t>
      </w:r>
    </w:p>
    <w:p w:rsidR="0017585E" w:rsidRPr="0017585E" w:rsidRDefault="0017585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7585E">
        <w:rPr>
          <w:rFonts w:eastAsia="Times New Roman" w:cs="Times New Roman"/>
          <w:szCs w:val="20"/>
        </w:rPr>
        <w:t>121st Session, 2015-2016</w:t>
      </w:r>
    </w:p>
    <w:p w:rsidR="0017585E" w:rsidRPr="0017585E" w:rsidRDefault="0017585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585E" w:rsidRPr="0017585E" w:rsidRDefault="00F1110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A165, R171, H3768</w:t>
      </w:r>
    </w:p>
    <w:p w:rsidR="0017585E" w:rsidRPr="0017585E" w:rsidRDefault="0017585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7585E" w:rsidRPr="0017585E" w:rsidRDefault="0017585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585E">
        <w:rPr>
          <w:rFonts w:eastAsia="Times New Roman" w:cs="Times New Roman"/>
          <w:b/>
          <w:szCs w:val="20"/>
        </w:rPr>
        <w:t>STATUS INFORMATION</w:t>
      </w:r>
    </w:p>
    <w:p w:rsidR="0017585E" w:rsidRPr="0017585E" w:rsidRDefault="0017585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585E" w:rsidRPr="0017585E" w:rsidRDefault="0017585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585E">
        <w:rPr>
          <w:rFonts w:eastAsia="Times New Roman" w:cs="Times New Roman"/>
          <w:szCs w:val="20"/>
        </w:rPr>
        <w:t>General Bill</w:t>
      </w:r>
    </w:p>
    <w:p w:rsidR="0017585E" w:rsidRPr="0017585E" w:rsidRDefault="0017585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585E">
        <w:rPr>
          <w:rFonts w:eastAsia="Times New Roman" w:cs="Times New Roman"/>
          <w:szCs w:val="20"/>
        </w:rPr>
        <w:t>Sponsors: Reps. G.M. Smith, Johnson and Willis</w:t>
      </w:r>
    </w:p>
    <w:p w:rsidR="0017585E" w:rsidRPr="0017585E" w:rsidRDefault="0017585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585E">
        <w:rPr>
          <w:rFonts w:eastAsia="Times New Roman" w:cs="Times New Roman"/>
          <w:szCs w:val="20"/>
        </w:rPr>
        <w:t>Document Path: l:\council\bills\dka\3062sa15.docx</w:t>
      </w:r>
    </w:p>
    <w:p w:rsidR="0017585E" w:rsidRPr="0017585E" w:rsidRDefault="0017585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585E">
        <w:rPr>
          <w:rFonts w:eastAsia="Times New Roman" w:cs="Times New Roman"/>
          <w:szCs w:val="20"/>
        </w:rPr>
        <w:t>Companion/Similar bill(s): 1050</w:t>
      </w:r>
    </w:p>
    <w:p w:rsidR="0017585E" w:rsidRPr="0017585E" w:rsidRDefault="0017585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6863" w:rsidRDefault="007E6863"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2015</w:t>
      </w:r>
    </w:p>
    <w:p w:rsidR="007E6863" w:rsidRDefault="007E6863"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4, 2015</w:t>
      </w:r>
    </w:p>
    <w:p w:rsidR="007E6863" w:rsidRDefault="007E6863"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22, 2016</w:t>
      </w:r>
    </w:p>
    <w:p w:rsidR="007E6863" w:rsidRDefault="007E6863"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21, 2016</w:t>
      </w:r>
    </w:p>
    <w:p w:rsidR="007E6863" w:rsidRDefault="007E6863"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29, 2016, Signed</w:t>
      </w:r>
    </w:p>
    <w:p w:rsidR="007E6863" w:rsidRDefault="007E6863"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585E" w:rsidRPr="0017585E" w:rsidRDefault="0017585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585E">
        <w:rPr>
          <w:rFonts w:eastAsia="Times New Roman" w:cs="Times New Roman"/>
          <w:szCs w:val="20"/>
        </w:rPr>
        <w:t>Summary: SC Able Savings Program</w:t>
      </w:r>
    </w:p>
    <w:p w:rsidR="0017585E" w:rsidRPr="0017585E" w:rsidRDefault="0017585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585E" w:rsidRPr="0017585E" w:rsidRDefault="0017585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585E" w:rsidRPr="0017585E" w:rsidRDefault="0017585E" w:rsidP="0017585E">
      <w:pPr>
        <w:widowControl w:val="0"/>
        <w:tabs>
          <w:tab w:val="center" w:pos="590"/>
          <w:tab w:val="center" w:pos="1440"/>
          <w:tab w:val="left" w:pos="1872"/>
          <w:tab w:val="left" w:pos="9187"/>
        </w:tabs>
        <w:rPr>
          <w:rFonts w:eastAsia="Times New Roman" w:cs="Times New Roman"/>
          <w:szCs w:val="20"/>
        </w:rPr>
      </w:pPr>
      <w:r w:rsidRPr="0017585E">
        <w:rPr>
          <w:rFonts w:eastAsia="Times New Roman" w:cs="Times New Roman"/>
          <w:b/>
          <w:szCs w:val="20"/>
        </w:rPr>
        <w:t>HISTORY OF LEGISLATIVE ACTIONS</w:t>
      </w:r>
    </w:p>
    <w:p w:rsidR="0017585E" w:rsidRPr="0017585E" w:rsidRDefault="0017585E" w:rsidP="0017585E">
      <w:pPr>
        <w:widowControl w:val="0"/>
        <w:tabs>
          <w:tab w:val="center" w:pos="590"/>
          <w:tab w:val="center" w:pos="1440"/>
          <w:tab w:val="left" w:pos="1872"/>
          <w:tab w:val="left" w:pos="9187"/>
        </w:tabs>
        <w:rPr>
          <w:rFonts w:eastAsia="Times New Roman" w:cs="Times New Roman"/>
          <w:szCs w:val="20"/>
        </w:rPr>
      </w:pPr>
    </w:p>
    <w:p w:rsidR="0017585E" w:rsidRPr="0017585E" w:rsidRDefault="0017585E" w:rsidP="0017585E">
      <w:pPr>
        <w:widowControl w:val="0"/>
        <w:tabs>
          <w:tab w:val="center" w:pos="590"/>
          <w:tab w:val="center" w:pos="1440"/>
          <w:tab w:val="left" w:pos="1872"/>
          <w:tab w:val="left" w:pos="9187"/>
        </w:tabs>
        <w:rPr>
          <w:rFonts w:eastAsia="Times New Roman" w:cs="Times New Roman"/>
          <w:szCs w:val="20"/>
        </w:rPr>
      </w:pPr>
      <w:r w:rsidRPr="0017585E">
        <w:rPr>
          <w:rFonts w:eastAsia="Times New Roman" w:cs="Times New Roman"/>
          <w:szCs w:val="20"/>
          <w:u w:val="single"/>
        </w:rPr>
        <w:tab/>
        <w:t>Date</w:t>
      </w:r>
      <w:r w:rsidRPr="0017585E">
        <w:rPr>
          <w:rFonts w:eastAsia="Times New Roman" w:cs="Times New Roman"/>
          <w:szCs w:val="20"/>
          <w:u w:val="single"/>
        </w:rPr>
        <w:tab/>
        <w:t>Body</w:t>
      </w:r>
      <w:r w:rsidRPr="0017585E">
        <w:rPr>
          <w:rFonts w:eastAsia="Times New Roman" w:cs="Times New Roman"/>
          <w:szCs w:val="20"/>
          <w:u w:val="single"/>
        </w:rPr>
        <w:tab/>
        <w:t>Action Description with journal page number</w:t>
      </w:r>
      <w:r w:rsidRPr="0017585E">
        <w:rPr>
          <w:rFonts w:eastAsia="Times New Roman" w:cs="Times New Roman"/>
          <w:szCs w:val="20"/>
          <w:u w:val="single"/>
        </w:rPr>
        <w:tab/>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House</w:t>
      </w:r>
      <w:r>
        <w:rPr>
          <w:rFonts w:cs="Times New Roman"/>
        </w:rPr>
        <w:tab/>
      </w:r>
      <w:r w:rsidRPr="00A279ED">
        <w:rPr>
          <w:rFonts w:cs="Times New Roman"/>
        </w:rPr>
        <w:t>Introduced and read first time (</w:t>
      </w:r>
      <w:hyperlink r:id="rId7" w:history="1">
        <w:r w:rsidRPr="001C10BE">
          <w:rPr>
            <w:rStyle w:val="Hyperlink"/>
            <w:rFonts w:cs="Times New Roman"/>
          </w:rPr>
          <w:t>House Journal</w:t>
        </w:r>
        <w:r w:rsidRPr="001C10BE">
          <w:rPr>
            <w:rStyle w:val="Hyperlink"/>
            <w:rFonts w:cs="Times New Roman"/>
          </w:rPr>
          <w:noBreakHyphen/>
          <w:t>page 22</w:t>
        </w:r>
      </w:hyperlink>
      <w:r w:rsidRPr="00A279ED">
        <w:rPr>
          <w:rFonts w:cs="Times New Roman"/>
        </w:rPr>
        <w:t>)</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House</w:t>
      </w:r>
      <w:r>
        <w:rPr>
          <w:rFonts w:cs="Times New Roman"/>
        </w:rPr>
        <w:tab/>
      </w:r>
      <w:r w:rsidRPr="00A279ED">
        <w:rPr>
          <w:rFonts w:cs="Times New Roman"/>
        </w:rPr>
        <w:t xml:space="preserve">Referred </w:t>
      </w:r>
      <w:r>
        <w:rPr>
          <w:rFonts w:cs="Times New Roman"/>
        </w:rPr>
        <w:t xml:space="preserve">to Committee on </w:t>
      </w:r>
      <w:r w:rsidRPr="00A279ED">
        <w:rPr>
          <w:rFonts w:cs="Times New Roman"/>
          <w:b/>
        </w:rPr>
        <w:t>Ways and Means</w:t>
      </w:r>
      <w:r>
        <w:rPr>
          <w:rFonts w:cs="Times New Roman"/>
        </w:rPr>
        <w:t xml:space="preserve"> </w:t>
      </w:r>
      <w:r w:rsidRPr="00A279ED">
        <w:rPr>
          <w:rFonts w:cs="Times New Roman"/>
        </w:rPr>
        <w:t>(</w:t>
      </w:r>
      <w:hyperlink r:id="rId8" w:history="1">
        <w:r w:rsidRPr="001C10BE">
          <w:rPr>
            <w:rStyle w:val="Hyperlink"/>
            <w:rFonts w:cs="Times New Roman"/>
          </w:rPr>
          <w:t>House Journal</w:t>
        </w:r>
        <w:r w:rsidRPr="001C10BE">
          <w:rPr>
            <w:rStyle w:val="Hyperlink"/>
            <w:rFonts w:cs="Times New Roman"/>
          </w:rPr>
          <w:noBreakHyphen/>
          <w:t>page 22</w:t>
        </w:r>
      </w:hyperlink>
      <w:r w:rsidRPr="00A279ED">
        <w:rPr>
          <w:rFonts w:cs="Times New Roman"/>
        </w:rPr>
        <w:t>)</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r>
      <w:r>
        <w:rPr>
          <w:rFonts w:cs="Times New Roman"/>
        </w:rPr>
        <w:tab/>
      </w:r>
      <w:r w:rsidRPr="00A279ED">
        <w:rPr>
          <w:rFonts w:cs="Times New Roman"/>
        </w:rPr>
        <w:t>Scrivener's error corrected</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House</w:t>
      </w:r>
      <w:r>
        <w:rPr>
          <w:rFonts w:cs="Times New Roman"/>
        </w:rPr>
        <w:tab/>
      </w:r>
      <w:r w:rsidRPr="00A279ED">
        <w:rPr>
          <w:rFonts w:cs="Times New Roman"/>
        </w:rPr>
        <w:t>Member(s) request name added as sponsor: Johnson</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A279ED">
        <w:rPr>
          <w:rFonts w:cs="Times New Roman"/>
        </w:rPr>
        <w:t>Committee report</w:t>
      </w:r>
      <w:r>
        <w:rPr>
          <w:rFonts w:cs="Times New Roman"/>
        </w:rPr>
        <w:t xml:space="preserve">: Favorable with amendment </w:t>
      </w:r>
      <w:r w:rsidRPr="00A279ED">
        <w:rPr>
          <w:rFonts w:cs="Times New Roman"/>
          <w:b/>
        </w:rPr>
        <w:t>Ways and Means</w:t>
      </w:r>
      <w:r w:rsidRPr="00A279ED">
        <w:rPr>
          <w:rFonts w:cs="Times New Roman"/>
        </w:rPr>
        <w:t xml:space="preserve"> (</w:t>
      </w:r>
      <w:hyperlink r:id="rId9" w:history="1">
        <w:r w:rsidRPr="001C10BE">
          <w:rPr>
            <w:rStyle w:val="Hyperlink"/>
            <w:rFonts w:cs="Times New Roman"/>
          </w:rPr>
          <w:t>House Journal</w:t>
        </w:r>
        <w:r w:rsidRPr="001C10BE">
          <w:rPr>
            <w:rStyle w:val="Hyperlink"/>
            <w:rFonts w:cs="Times New Roman"/>
          </w:rPr>
          <w:noBreakHyphen/>
          <w:t>page 124</w:t>
        </w:r>
      </w:hyperlink>
      <w:r w:rsidRPr="00A279ED">
        <w:rPr>
          <w:rFonts w:cs="Times New Roman"/>
        </w:rPr>
        <w:t>)</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A279ED">
        <w:rPr>
          <w:rFonts w:cs="Times New Roman"/>
        </w:rPr>
        <w:t>Member(s) request name added as sponsor: Willis</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A279ED">
        <w:rPr>
          <w:rFonts w:cs="Times New Roman"/>
        </w:rPr>
        <w:t>Amended (</w:t>
      </w:r>
      <w:hyperlink r:id="rId10" w:history="1">
        <w:r w:rsidRPr="001C10BE">
          <w:rPr>
            <w:rStyle w:val="Hyperlink"/>
            <w:rFonts w:cs="Times New Roman"/>
          </w:rPr>
          <w:t>House Journal</w:t>
        </w:r>
        <w:r w:rsidRPr="001C10BE">
          <w:rPr>
            <w:rStyle w:val="Hyperlink"/>
            <w:rFonts w:cs="Times New Roman"/>
          </w:rPr>
          <w:noBreakHyphen/>
          <w:t>page 116</w:t>
        </w:r>
      </w:hyperlink>
      <w:r w:rsidRPr="00A279ED">
        <w:rPr>
          <w:rFonts w:cs="Times New Roman"/>
        </w:rPr>
        <w:t>)</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A279ED">
        <w:rPr>
          <w:rFonts w:cs="Times New Roman"/>
        </w:rPr>
        <w:t>Read second time (</w:t>
      </w:r>
      <w:hyperlink r:id="rId11" w:history="1">
        <w:r w:rsidRPr="001C10BE">
          <w:rPr>
            <w:rStyle w:val="Hyperlink"/>
            <w:rFonts w:cs="Times New Roman"/>
          </w:rPr>
          <w:t>House Journal</w:t>
        </w:r>
        <w:r w:rsidRPr="001C10BE">
          <w:rPr>
            <w:rStyle w:val="Hyperlink"/>
            <w:rFonts w:cs="Times New Roman"/>
          </w:rPr>
          <w:noBreakHyphen/>
          <w:t>page 116</w:t>
        </w:r>
      </w:hyperlink>
      <w:r w:rsidRPr="00A279ED">
        <w:rPr>
          <w:rFonts w:cs="Times New Roman"/>
        </w:rPr>
        <w:t>)</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A279ED">
        <w:rPr>
          <w:rFonts w:cs="Times New Roman"/>
        </w:rPr>
        <w:t>Roll call Yeas</w:t>
      </w:r>
      <w:r>
        <w:rPr>
          <w:rFonts w:cs="Times New Roman"/>
        </w:rPr>
        <w:noBreakHyphen/>
      </w:r>
      <w:r w:rsidRPr="00A279ED">
        <w:rPr>
          <w:rFonts w:cs="Times New Roman"/>
        </w:rPr>
        <w:t>110  Nays</w:t>
      </w:r>
      <w:r>
        <w:rPr>
          <w:rFonts w:cs="Times New Roman"/>
        </w:rPr>
        <w:noBreakHyphen/>
      </w:r>
      <w:r w:rsidRPr="00A279ED">
        <w:rPr>
          <w:rFonts w:cs="Times New Roman"/>
        </w:rPr>
        <w:t>0 (</w:t>
      </w:r>
      <w:hyperlink r:id="rId12" w:history="1">
        <w:r w:rsidRPr="001C10BE">
          <w:rPr>
            <w:rStyle w:val="Hyperlink"/>
            <w:rFonts w:cs="Times New Roman"/>
          </w:rPr>
          <w:t>House Journal</w:t>
        </w:r>
        <w:r w:rsidRPr="001C10BE">
          <w:rPr>
            <w:rStyle w:val="Hyperlink"/>
            <w:rFonts w:cs="Times New Roman"/>
          </w:rPr>
          <w:noBreakHyphen/>
          <w:t>page 128</w:t>
        </w:r>
      </w:hyperlink>
      <w:r w:rsidRPr="00A279ED">
        <w:rPr>
          <w:rFonts w:cs="Times New Roman"/>
        </w:rPr>
        <w:t>)</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A279ED">
        <w:rPr>
          <w:rFonts w:cs="Times New Roman"/>
        </w:rPr>
        <w:t>Rea</w:t>
      </w:r>
      <w:r>
        <w:rPr>
          <w:rFonts w:cs="Times New Roman"/>
        </w:rPr>
        <w:t xml:space="preserve">d third time and sent to Senate </w:t>
      </w:r>
      <w:r w:rsidRPr="00A279ED">
        <w:rPr>
          <w:rFonts w:cs="Times New Roman"/>
        </w:rPr>
        <w:t>(</w:t>
      </w:r>
      <w:hyperlink r:id="rId13" w:history="1">
        <w:r w:rsidRPr="001C10BE">
          <w:rPr>
            <w:rStyle w:val="Hyperlink"/>
            <w:rFonts w:cs="Times New Roman"/>
          </w:rPr>
          <w:t>House Journal</w:t>
        </w:r>
        <w:r w:rsidRPr="001C10BE">
          <w:rPr>
            <w:rStyle w:val="Hyperlink"/>
            <w:rFonts w:cs="Times New Roman"/>
          </w:rPr>
          <w:noBreakHyphen/>
          <w:t>page 11</w:t>
        </w:r>
      </w:hyperlink>
      <w:r w:rsidRPr="00A279ED">
        <w:rPr>
          <w:rFonts w:cs="Times New Roman"/>
        </w:rPr>
        <w:t>)</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A279ED">
        <w:rPr>
          <w:rFonts w:cs="Times New Roman"/>
        </w:rPr>
        <w:t>Introduced and read first time (</w:t>
      </w:r>
      <w:hyperlink r:id="rId14" w:history="1">
        <w:r w:rsidRPr="001C10BE">
          <w:rPr>
            <w:rStyle w:val="Hyperlink"/>
            <w:rFonts w:cs="Times New Roman"/>
          </w:rPr>
          <w:t>Senate Journal</w:t>
        </w:r>
        <w:r w:rsidRPr="001C10BE">
          <w:rPr>
            <w:rStyle w:val="Hyperlink"/>
            <w:rFonts w:cs="Times New Roman"/>
          </w:rPr>
          <w:noBreakHyphen/>
          <w:t>page 11</w:t>
        </w:r>
      </w:hyperlink>
      <w:r w:rsidRPr="00A279ED">
        <w:rPr>
          <w:rFonts w:cs="Times New Roman"/>
        </w:rPr>
        <w:t>)</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A279ED">
        <w:rPr>
          <w:rFonts w:cs="Times New Roman"/>
        </w:rPr>
        <w:t>R</w:t>
      </w:r>
      <w:r>
        <w:rPr>
          <w:rFonts w:cs="Times New Roman"/>
        </w:rPr>
        <w:t xml:space="preserve">eferred to Committee on </w:t>
      </w:r>
      <w:r w:rsidRPr="00A279ED">
        <w:rPr>
          <w:rFonts w:cs="Times New Roman"/>
          <w:b/>
        </w:rPr>
        <w:t>Finance</w:t>
      </w:r>
      <w:r>
        <w:rPr>
          <w:rFonts w:cs="Times New Roman"/>
        </w:rPr>
        <w:t xml:space="preserve"> </w:t>
      </w:r>
      <w:r w:rsidRPr="00A279ED">
        <w:rPr>
          <w:rFonts w:cs="Times New Roman"/>
        </w:rPr>
        <w:t>(</w:t>
      </w:r>
      <w:hyperlink r:id="rId15" w:history="1">
        <w:r w:rsidRPr="001C10BE">
          <w:rPr>
            <w:rStyle w:val="Hyperlink"/>
            <w:rFonts w:cs="Times New Roman"/>
          </w:rPr>
          <w:t>Senate Journal</w:t>
        </w:r>
        <w:r w:rsidRPr="001C10BE">
          <w:rPr>
            <w:rStyle w:val="Hyperlink"/>
            <w:rFonts w:cs="Times New Roman"/>
          </w:rPr>
          <w:noBreakHyphen/>
          <w:t>page 11</w:t>
        </w:r>
      </w:hyperlink>
      <w:r w:rsidRPr="00A279ED">
        <w:rPr>
          <w:rFonts w:cs="Times New Roman"/>
        </w:rPr>
        <w:t>)</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5/5/2015</w:t>
      </w:r>
      <w:r>
        <w:rPr>
          <w:rFonts w:cs="Times New Roman"/>
        </w:rPr>
        <w:tab/>
      </w:r>
      <w:r>
        <w:rPr>
          <w:rFonts w:cs="Times New Roman"/>
        </w:rPr>
        <w:tab/>
      </w:r>
      <w:r w:rsidRPr="00A279ED">
        <w:rPr>
          <w:rFonts w:cs="Times New Roman"/>
        </w:rPr>
        <w:t>Scrivener's error corrected</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Senate</w:t>
      </w:r>
      <w:r>
        <w:rPr>
          <w:rFonts w:cs="Times New Roman"/>
        </w:rPr>
        <w:tab/>
      </w:r>
      <w:r w:rsidRPr="00A279ED">
        <w:rPr>
          <w:rFonts w:cs="Times New Roman"/>
        </w:rPr>
        <w:t xml:space="preserve">Committee report: Favorable </w:t>
      </w:r>
      <w:r>
        <w:rPr>
          <w:rFonts w:cs="Times New Roman"/>
        </w:rPr>
        <w:t xml:space="preserve">with amendment </w:t>
      </w:r>
      <w:r w:rsidRPr="00A279ED">
        <w:rPr>
          <w:rFonts w:cs="Times New Roman"/>
          <w:b/>
        </w:rPr>
        <w:t>Finance</w:t>
      </w:r>
      <w:r w:rsidRPr="00A279ED">
        <w:rPr>
          <w:rFonts w:cs="Times New Roman"/>
        </w:rPr>
        <w:t xml:space="preserve"> (</w:t>
      </w:r>
      <w:hyperlink r:id="rId16" w:history="1">
        <w:r w:rsidRPr="001C10BE">
          <w:rPr>
            <w:rStyle w:val="Hyperlink"/>
            <w:rFonts w:cs="Times New Roman"/>
          </w:rPr>
          <w:t>Senate Journal</w:t>
        </w:r>
        <w:r w:rsidRPr="001C10BE">
          <w:rPr>
            <w:rStyle w:val="Hyperlink"/>
            <w:rFonts w:cs="Times New Roman"/>
          </w:rPr>
          <w:noBreakHyphen/>
          <w:t>page 9</w:t>
        </w:r>
      </w:hyperlink>
      <w:r w:rsidRPr="00A279ED">
        <w:rPr>
          <w:rFonts w:cs="Times New Roman"/>
        </w:rPr>
        <w:t>)</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r>
      <w:r>
        <w:rPr>
          <w:rFonts w:cs="Times New Roman"/>
        </w:rPr>
        <w:tab/>
      </w:r>
      <w:r w:rsidRPr="00A279ED">
        <w:rPr>
          <w:rFonts w:cs="Times New Roman"/>
        </w:rPr>
        <w:t>Scrivener's error corrected</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3/22/2016</w:t>
      </w:r>
      <w:r>
        <w:rPr>
          <w:rFonts w:cs="Times New Roman"/>
        </w:rPr>
        <w:tab/>
        <w:t>Senate</w:t>
      </w:r>
      <w:r>
        <w:rPr>
          <w:rFonts w:cs="Times New Roman"/>
        </w:rPr>
        <w:tab/>
      </w:r>
      <w:r w:rsidRPr="00A279ED">
        <w:rPr>
          <w:rFonts w:cs="Times New Roman"/>
        </w:rPr>
        <w:t>Committee Amendment Adopted (</w:t>
      </w:r>
      <w:hyperlink r:id="rId17" w:history="1">
        <w:r w:rsidRPr="001C10BE">
          <w:rPr>
            <w:rStyle w:val="Hyperlink"/>
            <w:rFonts w:cs="Times New Roman"/>
          </w:rPr>
          <w:t>Senate Journal</w:t>
        </w:r>
        <w:r w:rsidRPr="001C10BE">
          <w:rPr>
            <w:rStyle w:val="Hyperlink"/>
            <w:rFonts w:cs="Times New Roman"/>
          </w:rPr>
          <w:noBreakHyphen/>
          <w:t>page 11</w:t>
        </w:r>
      </w:hyperlink>
      <w:r w:rsidRPr="00A279ED">
        <w:rPr>
          <w:rFonts w:cs="Times New Roman"/>
        </w:rPr>
        <w:t>)</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r>
      <w:r>
        <w:rPr>
          <w:rFonts w:cs="Times New Roman"/>
        </w:rPr>
        <w:tab/>
      </w:r>
      <w:r w:rsidRPr="00A279ED">
        <w:rPr>
          <w:rFonts w:cs="Times New Roman"/>
        </w:rPr>
        <w:t>Scrivener's error corrected</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A279ED">
        <w:rPr>
          <w:rFonts w:cs="Times New Roman"/>
        </w:rPr>
        <w:t>Read second time (</w:t>
      </w:r>
      <w:hyperlink r:id="rId18" w:history="1">
        <w:r w:rsidRPr="001C10BE">
          <w:rPr>
            <w:rStyle w:val="Hyperlink"/>
            <w:rFonts w:cs="Times New Roman"/>
          </w:rPr>
          <w:t>Senate Journal</w:t>
        </w:r>
        <w:r w:rsidRPr="001C10BE">
          <w:rPr>
            <w:rStyle w:val="Hyperlink"/>
            <w:rFonts w:cs="Times New Roman"/>
          </w:rPr>
          <w:noBreakHyphen/>
          <w:t>page 26</w:t>
        </w:r>
      </w:hyperlink>
      <w:r w:rsidRPr="00A279ED">
        <w:rPr>
          <w:rFonts w:cs="Times New Roman"/>
        </w:rPr>
        <w:t>)</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A279ED">
        <w:rPr>
          <w:rFonts w:cs="Times New Roman"/>
        </w:rPr>
        <w:t>Roll call Ayes</w:t>
      </w:r>
      <w:r>
        <w:rPr>
          <w:rFonts w:cs="Times New Roman"/>
        </w:rPr>
        <w:noBreakHyphen/>
      </w:r>
      <w:r w:rsidRPr="00A279ED">
        <w:rPr>
          <w:rFonts w:cs="Times New Roman"/>
        </w:rPr>
        <w:t>41  Nays</w:t>
      </w:r>
      <w:r>
        <w:rPr>
          <w:rFonts w:cs="Times New Roman"/>
        </w:rPr>
        <w:noBreakHyphen/>
      </w:r>
      <w:r w:rsidRPr="00A279ED">
        <w:rPr>
          <w:rFonts w:cs="Times New Roman"/>
        </w:rPr>
        <w:t>0 (</w:t>
      </w:r>
      <w:hyperlink r:id="rId19" w:history="1">
        <w:r w:rsidRPr="001C10BE">
          <w:rPr>
            <w:rStyle w:val="Hyperlink"/>
            <w:rFonts w:cs="Times New Roman"/>
          </w:rPr>
          <w:t>Senate Journal</w:t>
        </w:r>
        <w:r w:rsidRPr="001C10BE">
          <w:rPr>
            <w:rStyle w:val="Hyperlink"/>
            <w:rFonts w:cs="Times New Roman"/>
          </w:rPr>
          <w:noBreakHyphen/>
          <w:t>page 26</w:t>
        </w:r>
      </w:hyperlink>
      <w:r w:rsidRPr="00A279ED">
        <w:rPr>
          <w:rFonts w:cs="Times New Roman"/>
        </w:rPr>
        <w:t>)</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Senate</w:t>
      </w:r>
      <w:r>
        <w:rPr>
          <w:rFonts w:cs="Times New Roman"/>
        </w:rPr>
        <w:tab/>
      </w:r>
      <w:r w:rsidRPr="00A279ED">
        <w:rPr>
          <w:rFonts w:cs="Times New Roman"/>
        </w:rPr>
        <w:t xml:space="preserve">Read third </w:t>
      </w:r>
      <w:r>
        <w:rPr>
          <w:rFonts w:cs="Times New Roman"/>
        </w:rPr>
        <w:t xml:space="preserve">time and returned to House with </w:t>
      </w:r>
      <w:r w:rsidRPr="00A279ED">
        <w:rPr>
          <w:rFonts w:cs="Times New Roman"/>
        </w:rPr>
        <w:t>amendments (</w:t>
      </w:r>
      <w:hyperlink r:id="rId20" w:history="1">
        <w:r w:rsidRPr="001C10BE">
          <w:rPr>
            <w:rStyle w:val="Hyperlink"/>
            <w:rFonts w:cs="Times New Roman"/>
          </w:rPr>
          <w:t>Senate Journal</w:t>
        </w:r>
        <w:r w:rsidRPr="001C10BE">
          <w:rPr>
            <w:rStyle w:val="Hyperlink"/>
            <w:rFonts w:cs="Times New Roman"/>
          </w:rPr>
          <w:noBreakHyphen/>
          <w:t>page 18</w:t>
        </w:r>
      </w:hyperlink>
      <w:r w:rsidRPr="00A279ED">
        <w:rPr>
          <w:rFonts w:cs="Times New Roman"/>
        </w:rPr>
        <w:t>)</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A279ED">
        <w:rPr>
          <w:rFonts w:cs="Times New Roman"/>
        </w:rPr>
        <w:t>Concurred i</w:t>
      </w:r>
      <w:r>
        <w:rPr>
          <w:rFonts w:cs="Times New Roman"/>
        </w:rPr>
        <w:t xml:space="preserve">n Senate amendment and enrolled </w:t>
      </w:r>
      <w:r w:rsidRPr="00A279ED">
        <w:rPr>
          <w:rFonts w:cs="Times New Roman"/>
        </w:rPr>
        <w:t>(</w:t>
      </w:r>
      <w:hyperlink r:id="rId21" w:history="1">
        <w:r w:rsidRPr="001C10BE">
          <w:rPr>
            <w:rStyle w:val="Hyperlink"/>
            <w:rFonts w:cs="Times New Roman"/>
          </w:rPr>
          <w:t>House Journal</w:t>
        </w:r>
        <w:r w:rsidRPr="001C10BE">
          <w:rPr>
            <w:rStyle w:val="Hyperlink"/>
            <w:rFonts w:cs="Times New Roman"/>
          </w:rPr>
          <w:noBreakHyphen/>
          <w:t>page 33</w:t>
        </w:r>
      </w:hyperlink>
      <w:r w:rsidRPr="00A279ED">
        <w:rPr>
          <w:rFonts w:cs="Times New Roman"/>
        </w:rPr>
        <w:t>)</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House</w:t>
      </w:r>
      <w:r>
        <w:rPr>
          <w:rFonts w:cs="Times New Roman"/>
        </w:rPr>
        <w:tab/>
      </w:r>
      <w:r w:rsidRPr="00A279ED">
        <w:rPr>
          <w:rFonts w:cs="Times New Roman"/>
        </w:rPr>
        <w:t>Roll call Yeas</w:t>
      </w:r>
      <w:r>
        <w:rPr>
          <w:rFonts w:cs="Times New Roman"/>
        </w:rPr>
        <w:noBreakHyphen/>
      </w:r>
      <w:r w:rsidRPr="00A279ED">
        <w:rPr>
          <w:rFonts w:cs="Times New Roman"/>
        </w:rPr>
        <w:t>102  Nays</w:t>
      </w:r>
      <w:r>
        <w:rPr>
          <w:rFonts w:cs="Times New Roman"/>
        </w:rPr>
        <w:noBreakHyphen/>
      </w:r>
      <w:r w:rsidRPr="00A279ED">
        <w:rPr>
          <w:rFonts w:cs="Times New Roman"/>
        </w:rPr>
        <w:t>0 (</w:t>
      </w:r>
      <w:hyperlink r:id="rId22" w:history="1">
        <w:r w:rsidRPr="001C10BE">
          <w:rPr>
            <w:rStyle w:val="Hyperlink"/>
            <w:rFonts w:cs="Times New Roman"/>
          </w:rPr>
          <w:t>House Journal</w:t>
        </w:r>
        <w:r w:rsidRPr="001C10BE">
          <w:rPr>
            <w:rStyle w:val="Hyperlink"/>
            <w:rFonts w:cs="Times New Roman"/>
          </w:rPr>
          <w:noBreakHyphen/>
          <w:t>page 34</w:t>
        </w:r>
      </w:hyperlink>
      <w:r w:rsidRPr="00A279ED">
        <w:rPr>
          <w:rFonts w:cs="Times New Roman"/>
        </w:rPr>
        <w:t>)</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r>
      <w:r>
        <w:rPr>
          <w:rFonts w:cs="Times New Roman"/>
        </w:rPr>
        <w:tab/>
      </w:r>
      <w:r w:rsidRPr="00A279ED">
        <w:rPr>
          <w:rFonts w:cs="Times New Roman"/>
        </w:rPr>
        <w:t>Ratified R 171</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4/29/2016</w:t>
      </w:r>
      <w:r>
        <w:rPr>
          <w:rFonts w:cs="Times New Roman"/>
        </w:rPr>
        <w:tab/>
      </w:r>
      <w:r>
        <w:rPr>
          <w:rFonts w:cs="Times New Roman"/>
        </w:rPr>
        <w:tab/>
      </w:r>
      <w:r w:rsidRPr="00A279ED">
        <w:rPr>
          <w:rFonts w:cs="Times New Roman"/>
        </w:rPr>
        <w:t>Signed By Governor</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r>
      <w:r>
        <w:rPr>
          <w:rFonts w:cs="Times New Roman"/>
        </w:rPr>
        <w:tab/>
      </w:r>
      <w:r w:rsidRPr="00A279ED">
        <w:rPr>
          <w:rFonts w:cs="Times New Roman"/>
        </w:rPr>
        <w:t>Effective date 04/29/16</w:t>
      </w:r>
    </w:p>
    <w:p w:rsidR="00F1110E" w:rsidRDefault="00F1110E" w:rsidP="00F1110E">
      <w:pPr>
        <w:widowControl w:val="0"/>
        <w:tabs>
          <w:tab w:val="right" w:pos="1008"/>
          <w:tab w:val="left" w:pos="1152"/>
          <w:tab w:val="left" w:pos="1872"/>
          <w:tab w:val="left" w:pos="9187"/>
        </w:tabs>
        <w:ind w:left="2088" w:hanging="2088"/>
        <w:rPr>
          <w:rFonts w:cs="Times New Roman"/>
        </w:rPr>
      </w:pPr>
      <w:r>
        <w:rPr>
          <w:rFonts w:cs="Times New Roman"/>
        </w:rPr>
        <w:tab/>
        <w:t>5/6/2016</w:t>
      </w:r>
      <w:r>
        <w:rPr>
          <w:rFonts w:cs="Times New Roman"/>
        </w:rPr>
        <w:tab/>
      </w:r>
      <w:r>
        <w:rPr>
          <w:rFonts w:cs="Times New Roman"/>
        </w:rPr>
        <w:tab/>
      </w:r>
      <w:r w:rsidRPr="00A279ED">
        <w:rPr>
          <w:rFonts w:cs="Times New Roman"/>
        </w:rPr>
        <w:t>Act No</w:t>
      </w:r>
      <w:r>
        <w:rPr>
          <w:rFonts w:cs="Times New Roman"/>
        </w:rPr>
        <w:t>. </w:t>
      </w:r>
      <w:r w:rsidRPr="00A279ED">
        <w:rPr>
          <w:rFonts w:cs="Times New Roman"/>
        </w:rPr>
        <w:t>165</w:t>
      </w:r>
    </w:p>
    <w:p w:rsidR="00F1110E" w:rsidRDefault="00F1110E" w:rsidP="00F1110E">
      <w:pPr>
        <w:widowControl w:val="0"/>
        <w:tabs>
          <w:tab w:val="right" w:pos="1008"/>
          <w:tab w:val="left" w:pos="1152"/>
          <w:tab w:val="left" w:pos="1872"/>
          <w:tab w:val="left" w:pos="9187"/>
        </w:tabs>
        <w:ind w:left="2088" w:hanging="2088"/>
        <w:rPr>
          <w:rFonts w:cs="Times New Roman"/>
        </w:rPr>
      </w:pPr>
    </w:p>
    <w:p w:rsidR="0017585E" w:rsidRPr="0017585E" w:rsidRDefault="0017585E" w:rsidP="0017585E">
      <w:pPr>
        <w:widowControl w:val="0"/>
        <w:tabs>
          <w:tab w:val="right" w:pos="1008"/>
          <w:tab w:val="left" w:pos="1152"/>
          <w:tab w:val="left" w:pos="1872"/>
          <w:tab w:val="left" w:pos="9187"/>
        </w:tabs>
        <w:ind w:left="2088" w:hanging="2088"/>
        <w:rPr>
          <w:rFonts w:eastAsia="Times New Roman" w:cs="Times New Roman"/>
          <w:szCs w:val="20"/>
        </w:rPr>
      </w:pPr>
      <w:r w:rsidRPr="0017585E">
        <w:rPr>
          <w:rFonts w:eastAsia="Times New Roman" w:cs="Times New Roman"/>
          <w:szCs w:val="20"/>
        </w:rPr>
        <w:t xml:space="preserve">View the latest </w:t>
      </w:r>
      <w:hyperlink r:id="rId23" w:history="1">
        <w:r w:rsidRPr="0017585E">
          <w:rPr>
            <w:rFonts w:eastAsia="Times New Roman" w:cs="Times New Roman"/>
            <w:color w:val="0000FF" w:themeColor="hyperlink"/>
            <w:szCs w:val="20"/>
            <w:u w:val="single"/>
          </w:rPr>
          <w:t>legislative information</w:t>
        </w:r>
      </w:hyperlink>
      <w:r w:rsidRPr="0017585E">
        <w:rPr>
          <w:rFonts w:eastAsia="Times New Roman" w:cs="Times New Roman"/>
          <w:szCs w:val="20"/>
        </w:rPr>
        <w:t xml:space="preserve"> at the website</w:t>
      </w:r>
    </w:p>
    <w:p w:rsidR="0017585E" w:rsidRPr="0017585E" w:rsidRDefault="0017585E" w:rsidP="0017585E">
      <w:pPr>
        <w:widowControl w:val="0"/>
        <w:tabs>
          <w:tab w:val="right" w:pos="1008"/>
          <w:tab w:val="left" w:pos="1152"/>
          <w:tab w:val="left" w:pos="1872"/>
          <w:tab w:val="left" w:pos="9187"/>
        </w:tabs>
        <w:ind w:left="2088" w:hanging="2088"/>
        <w:rPr>
          <w:rFonts w:eastAsia="Times New Roman" w:cs="Times New Roman"/>
          <w:szCs w:val="20"/>
        </w:rPr>
      </w:pPr>
    </w:p>
    <w:p w:rsidR="0017585E" w:rsidRPr="0017585E" w:rsidRDefault="0017585E" w:rsidP="0017585E">
      <w:pPr>
        <w:widowControl w:val="0"/>
        <w:tabs>
          <w:tab w:val="right" w:pos="1008"/>
          <w:tab w:val="left" w:pos="1152"/>
          <w:tab w:val="left" w:pos="1872"/>
          <w:tab w:val="left" w:pos="9187"/>
        </w:tabs>
        <w:ind w:left="2088" w:hanging="2088"/>
        <w:rPr>
          <w:rFonts w:eastAsia="Times New Roman" w:cs="Times New Roman"/>
          <w:szCs w:val="20"/>
        </w:rPr>
      </w:pPr>
    </w:p>
    <w:p w:rsidR="0017585E" w:rsidRPr="0017585E" w:rsidRDefault="0017585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585E">
        <w:rPr>
          <w:rFonts w:eastAsia="Times New Roman" w:cs="Times New Roman"/>
          <w:b/>
          <w:szCs w:val="20"/>
        </w:rPr>
        <w:t>VERSIONS OF THIS BILL</w:t>
      </w:r>
    </w:p>
    <w:p w:rsidR="0017585E" w:rsidRPr="0017585E" w:rsidRDefault="0017585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585E" w:rsidRPr="0017585E" w:rsidRDefault="001C10BE" w:rsidP="001758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17585E" w:rsidRPr="0017585E">
          <w:rPr>
            <w:rFonts w:eastAsia="Times New Roman" w:cs="Times New Roman"/>
            <w:color w:val="0000FF" w:themeColor="hyperlink"/>
            <w:szCs w:val="20"/>
            <w:u w:val="single"/>
          </w:rPr>
          <w:t>3/3/2015</w:t>
        </w:r>
      </w:hyperlink>
    </w:p>
    <w:p w:rsidR="0017585E" w:rsidRPr="0017585E" w:rsidRDefault="001C10BE" w:rsidP="0017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7585E" w:rsidRPr="0017585E">
          <w:rPr>
            <w:rFonts w:eastAsia="Times New Roman" w:cs="Times New Roman"/>
            <w:color w:val="0000FF" w:themeColor="hyperlink"/>
            <w:szCs w:val="20"/>
            <w:u w:val="single"/>
          </w:rPr>
          <w:t>3/10/2015</w:t>
        </w:r>
      </w:hyperlink>
    </w:p>
    <w:p w:rsidR="0017585E" w:rsidRPr="0017585E" w:rsidRDefault="001C10BE" w:rsidP="0017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7585E" w:rsidRPr="0017585E">
          <w:rPr>
            <w:rFonts w:eastAsia="Times New Roman" w:cs="Times New Roman"/>
            <w:color w:val="0000FF" w:themeColor="hyperlink"/>
            <w:szCs w:val="20"/>
            <w:u w:val="single"/>
          </w:rPr>
          <w:t>4/23/2015</w:t>
        </w:r>
      </w:hyperlink>
    </w:p>
    <w:p w:rsidR="0017585E" w:rsidRPr="0017585E" w:rsidRDefault="001C10BE" w:rsidP="0017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7585E" w:rsidRPr="0017585E">
          <w:rPr>
            <w:rFonts w:eastAsia="Times New Roman" w:cs="Times New Roman"/>
            <w:color w:val="0000FF" w:themeColor="hyperlink"/>
            <w:szCs w:val="20"/>
            <w:u w:val="single"/>
          </w:rPr>
          <w:t>4/29/2015</w:t>
        </w:r>
      </w:hyperlink>
    </w:p>
    <w:p w:rsidR="0017585E" w:rsidRPr="0017585E" w:rsidRDefault="001C10BE" w:rsidP="0017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7585E" w:rsidRPr="0017585E">
          <w:rPr>
            <w:rFonts w:eastAsia="Times New Roman" w:cs="Times New Roman"/>
            <w:color w:val="0000FF" w:themeColor="hyperlink"/>
            <w:szCs w:val="20"/>
            <w:u w:val="single"/>
          </w:rPr>
          <w:t>5/5/2015</w:t>
        </w:r>
      </w:hyperlink>
    </w:p>
    <w:p w:rsidR="0017585E" w:rsidRPr="0017585E" w:rsidRDefault="001C10BE" w:rsidP="0017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7585E" w:rsidRPr="0017585E">
          <w:rPr>
            <w:rFonts w:eastAsia="Times New Roman" w:cs="Times New Roman"/>
            <w:color w:val="0000FF" w:themeColor="hyperlink"/>
            <w:szCs w:val="20"/>
            <w:u w:val="single"/>
          </w:rPr>
          <w:t>3/16/2016</w:t>
        </w:r>
      </w:hyperlink>
    </w:p>
    <w:p w:rsidR="0017585E" w:rsidRPr="0017585E" w:rsidRDefault="001C10BE" w:rsidP="0017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17585E" w:rsidRPr="0017585E">
          <w:rPr>
            <w:rFonts w:eastAsia="Times New Roman" w:cs="Times New Roman"/>
            <w:color w:val="0000FF" w:themeColor="hyperlink"/>
            <w:szCs w:val="20"/>
            <w:u w:val="single"/>
          </w:rPr>
          <w:t>3/17/2016</w:t>
        </w:r>
      </w:hyperlink>
    </w:p>
    <w:p w:rsidR="0017585E" w:rsidRPr="0017585E" w:rsidRDefault="001C10BE" w:rsidP="0017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17585E" w:rsidRPr="0017585E">
          <w:rPr>
            <w:rFonts w:eastAsia="Times New Roman" w:cs="Times New Roman"/>
            <w:color w:val="0000FF" w:themeColor="hyperlink"/>
            <w:szCs w:val="20"/>
            <w:u w:val="single"/>
          </w:rPr>
          <w:t>3/22/2016</w:t>
        </w:r>
      </w:hyperlink>
    </w:p>
    <w:p w:rsidR="0017585E" w:rsidRPr="0017585E" w:rsidRDefault="001C10BE" w:rsidP="0017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17585E" w:rsidRPr="0017585E">
          <w:rPr>
            <w:rFonts w:eastAsia="Times New Roman" w:cs="Times New Roman"/>
            <w:color w:val="0000FF" w:themeColor="hyperlink"/>
            <w:szCs w:val="20"/>
            <w:u w:val="single"/>
          </w:rPr>
          <w:t>3/23/2016</w:t>
        </w:r>
      </w:hyperlink>
    </w:p>
    <w:p w:rsidR="0017585E" w:rsidRPr="0017585E" w:rsidRDefault="0017585E" w:rsidP="0017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7585E" w:rsidRDefault="0017585E" w:rsidP="001758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7585E" w:rsidSect="0017585E">
          <w:pgSz w:w="12240" w:h="15840" w:code="1"/>
          <w:pgMar w:top="1080" w:right="1440" w:bottom="1080" w:left="1440" w:header="720" w:footer="720" w:gutter="0"/>
          <w:pgNumType w:start="1"/>
          <w:cols w:space="720"/>
          <w:noEndnote/>
          <w:docGrid w:linePitch="360"/>
        </w:sectPr>
      </w:pPr>
    </w:p>
    <w:p w:rsidR="001F4E93"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(A165, R171, H3768)</w:t>
      </w:r>
    </w:p>
    <w:p w:rsidR="001F4E93" w:rsidRPr="008836A5"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F4E93" w:rsidRPr="0017585E"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7585E">
        <w:rPr>
          <w:rFonts w:cs="Times New Roman"/>
          <w:b/>
          <w:color w:val="000000" w:themeColor="text1"/>
          <w:szCs w:val="36"/>
        </w:rPr>
        <w:t xml:space="preserve">AN ACT </w:t>
      </w:r>
      <w:r w:rsidRPr="0017585E">
        <w:rPr>
          <w:rFonts w:cs="Times New Roman"/>
          <w:b/>
          <w:color w:val="000000" w:themeColor="text1"/>
          <w:u w:color="000000" w:themeColor="text1"/>
        </w:rPr>
        <w:t>TO AMEND THE CODE OF LAWS OF SOUTH CAROLINA, 1976, BY ADDING ARTICLE 3 TO CHAPTER 5, TITLE 11 SO AS TO ESTABLISH THE “SOUTH CAROLINA ABLE SAVINGS PROGRAM”, TO ALLOW INDIVIDUALS WITH A DISABILITY AND THEIR FAMILIES TO SAVE PRIVATE FUNDS TO SUPPORT THE INDIVIDUAL WITH A DISABILITY, TO PROVIDE GUIDELINES TO THE STATE TREASURER FOR THE MAINTENANCE OF THESE ACCOUNTS, AND TO ESTABLISH THE SAVINGS PROGRAM TRUST FUND AND SAVINGS EXPENSE TRUST FUND; TO AMEND SECTION 12</w:t>
      </w:r>
      <w:r w:rsidRPr="0017585E">
        <w:rPr>
          <w:rFonts w:cs="Times New Roman"/>
          <w:b/>
          <w:color w:val="000000" w:themeColor="text1"/>
          <w:u w:color="000000" w:themeColor="text1"/>
        </w:rPr>
        <w:noBreakHyphen/>
        <w:t>6</w:t>
      </w:r>
      <w:r w:rsidRPr="0017585E">
        <w:rPr>
          <w:rFonts w:cs="Times New Roman"/>
          <w:b/>
          <w:color w:val="000000" w:themeColor="text1"/>
          <w:u w:color="000000" w:themeColor="text1"/>
        </w:rPr>
        <w:noBreakHyphen/>
        <w:t>1140, AS AMENDED, RELATING TO INDIVIDUAL INCOME TAX DEDUCTIONS, SO AS TO PROVIDE A DEDUCTION FOR CONTRIBUTIONS MADE TO CERTAIN INVESTMENT TRUST ACCOUNTS; AND TO DESIGNATE THE EXISTING SECTIONS OF CHAPTER 5, TITLE 11 AS ARTICLE 1 AND ENTITLE THEM “GENERAL PROVISIONS”.</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1FAC">
        <w:rPr>
          <w:rFonts w:cs="Times New Roman"/>
        </w:rPr>
        <w:t>Be it enacted by the General Assembly of the State of South Carolina:</w:t>
      </w:r>
    </w:p>
    <w:p w:rsidR="001F4E93"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4E93"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South Carolina ABLE Savings Program</w:t>
      </w:r>
    </w:p>
    <w:p w:rsidR="001F4E93" w:rsidRPr="008E12FA"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SECTION</w:t>
      </w:r>
      <w:r w:rsidRPr="00401FAC">
        <w:rPr>
          <w:rFonts w:cs="Times New Roman"/>
          <w:u w:color="000000" w:themeColor="text1"/>
        </w:rPr>
        <w:tab/>
        <w:t>1.</w:t>
      </w:r>
      <w:r w:rsidRPr="00401FAC">
        <w:rPr>
          <w:rFonts w:cs="Times New Roman"/>
          <w:u w:color="000000" w:themeColor="text1"/>
        </w:rPr>
        <w:tab/>
        <w:t>Chapter 5, Title 11 of the 1976 Code is amended by adding:</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401FAC">
        <w:rPr>
          <w:rFonts w:cs="Times New Roman"/>
          <w:u w:color="000000" w:themeColor="text1"/>
        </w:rPr>
        <w:t>“Article 3</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401FAC">
        <w:rPr>
          <w:rFonts w:cs="Times New Roman"/>
          <w:u w:color="000000" w:themeColor="text1"/>
        </w:rPr>
        <w:t>ABLE Savings Program</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Section 11</w:t>
      </w:r>
      <w:r>
        <w:rPr>
          <w:rFonts w:cs="Times New Roman"/>
          <w:u w:color="000000" w:themeColor="text1"/>
        </w:rPr>
        <w:noBreakHyphen/>
      </w:r>
      <w:r w:rsidRPr="00401FAC">
        <w:rPr>
          <w:rFonts w:cs="Times New Roman"/>
          <w:u w:color="000000" w:themeColor="text1"/>
        </w:rPr>
        <w:t>5</w:t>
      </w:r>
      <w:r>
        <w:rPr>
          <w:rFonts w:cs="Times New Roman"/>
          <w:u w:color="000000" w:themeColor="text1"/>
        </w:rPr>
        <w:noBreakHyphen/>
      </w:r>
      <w:r w:rsidRPr="00401FAC">
        <w:rPr>
          <w:rFonts w:cs="Times New Roman"/>
          <w:u w:color="000000" w:themeColor="text1"/>
        </w:rPr>
        <w:t>400.</w:t>
      </w:r>
      <w:r w:rsidRPr="00401FAC">
        <w:rPr>
          <w:rFonts w:cs="Times New Roman"/>
          <w:u w:color="000000" w:themeColor="text1"/>
        </w:rPr>
        <w:tab/>
        <w:t xml:space="preserve">There is established the </w:t>
      </w:r>
      <w:r w:rsidRPr="000136AF">
        <w:rPr>
          <w:rFonts w:cs="Times New Roman"/>
          <w:u w:color="000000" w:themeColor="text1"/>
        </w:rPr>
        <w:t>‘</w:t>
      </w:r>
      <w:r w:rsidRPr="00401FAC">
        <w:rPr>
          <w:rFonts w:cs="Times New Roman"/>
          <w:u w:color="000000" w:themeColor="text1"/>
        </w:rPr>
        <w:t>South Carolina ABLE Savings Program</w:t>
      </w:r>
      <w:r w:rsidRPr="000136AF">
        <w:rPr>
          <w:rFonts w:cs="Times New Roman"/>
          <w:u w:color="000000" w:themeColor="text1"/>
        </w:rPr>
        <w:t>’</w:t>
      </w:r>
      <w:r w:rsidRPr="00401FAC">
        <w:rPr>
          <w:rFonts w:cs="Times New Roman"/>
          <w:u w:color="000000" w:themeColor="text1"/>
        </w:rPr>
        <w:t>.  The purpose of the South Carolina ABLE Savings Program is to authorize the establishment of savings accounts empowering individuals with a disability and their families to save private funds which can be used to provide for disability</w:t>
      </w:r>
      <w:r>
        <w:rPr>
          <w:rFonts w:cs="Times New Roman"/>
          <w:u w:color="000000" w:themeColor="text1"/>
        </w:rPr>
        <w:noBreakHyphen/>
      </w:r>
      <w:r w:rsidRPr="00401FAC">
        <w:rPr>
          <w:rFonts w:cs="Times New Roman"/>
          <w:u w:color="000000" w:themeColor="text1"/>
        </w:rPr>
        <w:t>related expenses in a way that supplements, but does not supplant, benefits provided through private insurance, the Medicaid program under Title XIX of the Social Security Act, the supplemental security income program under Title XVI of the Social Security Act, the beneficiary</w:t>
      </w:r>
      <w:r w:rsidRPr="000136AF">
        <w:rPr>
          <w:rFonts w:cs="Times New Roman"/>
          <w:u w:color="000000" w:themeColor="text1"/>
        </w:rPr>
        <w:t>’</w:t>
      </w:r>
      <w:r w:rsidRPr="00401FAC">
        <w:rPr>
          <w:rFonts w:cs="Times New Roman"/>
          <w:u w:color="000000" w:themeColor="text1"/>
        </w:rPr>
        <w:t>s employment, and other sources; and to provide guidelines for the maintenance of these accounts.</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Section 11</w:t>
      </w:r>
      <w:r>
        <w:rPr>
          <w:rFonts w:cs="Times New Roman"/>
          <w:u w:color="000000" w:themeColor="text1"/>
        </w:rPr>
        <w:noBreakHyphen/>
      </w:r>
      <w:r w:rsidRPr="00401FAC">
        <w:rPr>
          <w:rFonts w:cs="Times New Roman"/>
          <w:u w:color="000000" w:themeColor="text1"/>
        </w:rPr>
        <w:t>5</w:t>
      </w:r>
      <w:r>
        <w:rPr>
          <w:rFonts w:cs="Times New Roman"/>
          <w:u w:color="000000" w:themeColor="text1"/>
        </w:rPr>
        <w:noBreakHyphen/>
      </w:r>
      <w:r w:rsidRPr="00401FAC">
        <w:rPr>
          <w:rFonts w:cs="Times New Roman"/>
          <w:u w:color="000000" w:themeColor="text1"/>
        </w:rPr>
        <w:t>410.</w:t>
      </w:r>
      <w:r w:rsidRPr="00401FAC">
        <w:rPr>
          <w:rFonts w:cs="Times New Roman"/>
          <w:u w:color="000000" w:themeColor="text1"/>
        </w:rPr>
        <w:tab/>
        <w:t>As used in this article:</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(1)</w:t>
      </w:r>
      <w:r w:rsidRPr="00401FAC">
        <w:rPr>
          <w:rFonts w:cs="Times New Roman"/>
          <w:u w:color="000000" w:themeColor="text1"/>
        </w:rPr>
        <w:tab/>
      </w:r>
      <w:r w:rsidRPr="000136AF">
        <w:rPr>
          <w:rFonts w:cs="Times New Roman"/>
          <w:u w:color="000000" w:themeColor="text1"/>
        </w:rPr>
        <w:t>‘</w:t>
      </w:r>
      <w:r w:rsidRPr="00401FAC">
        <w:rPr>
          <w:rFonts w:cs="Times New Roman"/>
          <w:u w:color="000000" w:themeColor="text1"/>
        </w:rPr>
        <w:t>ABLE savings account</w:t>
      </w:r>
      <w:r w:rsidRPr="000136AF">
        <w:rPr>
          <w:rFonts w:cs="Times New Roman"/>
          <w:u w:color="000000" w:themeColor="text1"/>
        </w:rPr>
        <w:t>’</w:t>
      </w:r>
      <w:r w:rsidRPr="00401FAC">
        <w:rPr>
          <w:rFonts w:cs="Times New Roman"/>
          <w:u w:color="000000" w:themeColor="text1"/>
        </w:rPr>
        <w:t xml:space="preserve"> or </w:t>
      </w:r>
      <w:r w:rsidRPr="000136AF">
        <w:rPr>
          <w:rFonts w:cs="Times New Roman"/>
          <w:u w:color="000000" w:themeColor="text1"/>
        </w:rPr>
        <w:t>‘</w:t>
      </w:r>
      <w:r w:rsidRPr="00401FAC">
        <w:rPr>
          <w:rFonts w:cs="Times New Roman"/>
          <w:u w:color="000000" w:themeColor="text1"/>
        </w:rPr>
        <w:t>account</w:t>
      </w:r>
      <w:r w:rsidRPr="000136AF">
        <w:rPr>
          <w:rFonts w:cs="Times New Roman"/>
          <w:u w:color="000000" w:themeColor="text1"/>
        </w:rPr>
        <w:t>’</w:t>
      </w:r>
      <w:r w:rsidRPr="00401FAC">
        <w:rPr>
          <w:rFonts w:cs="Times New Roman"/>
          <w:u w:color="000000" w:themeColor="text1"/>
        </w:rPr>
        <w:t xml:space="preserve"> means an individual savings account established in accordance with the provisions of this article and pursuant to Section 529A of the federal Internal Revenue Code of 1986, as amended.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(2)</w:t>
      </w:r>
      <w:r w:rsidRPr="00401FAC">
        <w:rPr>
          <w:rFonts w:cs="Times New Roman"/>
          <w:u w:color="000000" w:themeColor="text1"/>
        </w:rPr>
        <w:tab/>
      </w:r>
      <w:r w:rsidRPr="000136AF">
        <w:rPr>
          <w:rFonts w:cs="Times New Roman"/>
          <w:u w:color="000000" w:themeColor="text1"/>
        </w:rPr>
        <w:t>‘</w:t>
      </w:r>
      <w:r w:rsidRPr="00401FAC">
        <w:rPr>
          <w:rFonts w:cs="Times New Roman"/>
          <w:u w:color="000000" w:themeColor="text1"/>
        </w:rPr>
        <w:t>Account owner</w:t>
      </w:r>
      <w:r w:rsidRPr="000136AF">
        <w:rPr>
          <w:rFonts w:cs="Times New Roman"/>
          <w:u w:color="000000" w:themeColor="text1"/>
        </w:rPr>
        <w:t>’</w:t>
      </w:r>
      <w:r w:rsidRPr="00401FAC">
        <w:rPr>
          <w:rFonts w:cs="Times New Roman"/>
          <w:u w:color="000000" w:themeColor="text1"/>
        </w:rPr>
        <w:t xml:space="preserve"> means the person who enters into an ABLE savings agreement pursuant to the provisions of this article. The account owner also must be the designated beneficiary; however, a trustee, guardian, or conservator may be appointed as an account owner for a designated beneficiary who is a minor or lacks capacity to enter into an agreement.  Also, the agent of the designated beneficiary acting under durable power of attorney may open and manage an account on behalf of and in the name of a designated beneficiary who lacks capacity.</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rPr>
        <w:tab/>
      </w:r>
      <w:r w:rsidRPr="00401FAC">
        <w:rPr>
          <w:rFonts w:cs="Times New Roman"/>
          <w:u w:color="000000" w:themeColor="text1"/>
        </w:rPr>
        <w:t>(3)</w:t>
      </w:r>
      <w:r w:rsidRPr="00401FAC">
        <w:rPr>
          <w:rFonts w:cs="Times New Roman"/>
          <w:u w:color="000000" w:themeColor="text1"/>
        </w:rPr>
        <w:tab/>
      </w:r>
      <w:r w:rsidRPr="000136AF">
        <w:rPr>
          <w:rFonts w:cs="Times New Roman"/>
          <w:u w:color="000000" w:themeColor="text1"/>
        </w:rPr>
        <w:t>‘</w:t>
      </w:r>
      <w:r w:rsidRPr="00401FAC">
        <w:rPr>
          <w:rFonts w:cs="Times New Roman"/>
          <w:u w:color="000000" w:themeColor="text1"/>
        </w:rPr>
        <w:t>Designated beneficiary</w:t>
      </w:r>
      <w:r w:rsidRPr="000136AF">
        <w:rPr>
          <w:rFonts w:cs="Times New Roman"/>
          <w:u w:color="000000" w:themeColor="text1"/>
        </w:rPr>
        <w:t>’</w:t>
      </w:r>
      <w:r w:rsidRPr="00401FAC">
        <w:rPr>
          <w:rFonts w:cs="Times New Roman"/>
          <w:u w:color="000000" w:themeColor="text1"/>
        </w:rPr>
        <w:t xml:space="preserve"> means an eligible individual whose qualified disability expenses may be paid from the account. The designated beneficiary must be an eligible individual at the time the account is established. The account owner may change the designated beneficiary so long as the new beneficiary is an eligible individual who is a qualified member of the family of the designated beneficiary at the time of the change.</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(4)</w:t>
      </w:r>
      <w:r w:rsidRPr="00401FAC">
        <w:rPr>
          <w:rFonts w:cs="Times New Roman"/>
          <w:u w:color="000000" w:themeColor="text1"/>
        </w:rPr>
        <w:tab/>
      </w:r>
      <w:r w:rsidRPr="000136AF">
        <w:rPr>
          <w:rFonts w:cs="Times New Roman"/>
          <w:u w:color="000000" w:themeColor="text1"/>
        </w:rPr>
        <w:t>‘</w:t>
      </w:r>
      <w:r w:rsidRPr="00401FAC">
        <w:rPr>
          <w:rFonts w:cs="Times New Roman"/>
          <w:u w:color="000000" w:themeColor="text1"/>
        </w:rPr>
        <w:t>Eligible individual</w:t>
      </w:r>
      <w:r w:rsidRPr="000136AF">
        <w:rPr>
          <w:rFonts w:cs="Times New Roman"/>
          <w:u w:color="000000" w:themeColor="text1"/>
        </w:rPr>
        <w:t>’</w:t>
      </w:r>
      <w:r w:rsidRPr="00401FAC">
        <w:rPr>
          <w:rFonts w:cs="Times New Roman"/>
          <w:u w:color="000000" w:themeColor="text1"/>
        </w:rPr>
        <w:t>, as defined in Section 529A(e)(1) of the federal Internal Revenue Code of 1986, as amended, means:</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(a)</w:t>
      </w:r>
      <w:r w:rsidRPr="00401FAC">
        <w:rPr>
          <w:rFonts w:cs="Times New Roman"/>
          <w:u w:color="000000" w:themeColor="text1"/>
        </w:rPr>
        <w:tab/>
        <w:t>an individual who is entitled to benefits based on blindness or disability pursuant to 42 U.S.C. Section 401</w:t>
      </w:r>
      <w:r>
        <w:rPr>
          <w:rFonts w:cs="Times New Roman"/>
          <w:u w:color="000000" w:themeColor="text1"/>
        </w:rPr>
        <w:t>,</w:t>
      </w:r>
      <w:r w:rsidRPr="00401FAC">
        <w:rPr>
          <w:rFonts w:cs="Times New Roman"/>
          <w:u w:color="000000" w:themeColor="text1"/>
        </w:rPr>
        <w:t xml:space="preserve"> et seq. or 42 U.S.C. Section 1381, as amended, and the blindness or disability occurred before the date on which the individual attained age twenty</w:t>
      </w:r>
      <w:r>
        <w:rPr>
          <w:rFonts w:cs="Times New Roman"/>
          <w:u w:color="000000" w:themeColor="text1"/>
        </w:rPr>
        <w:noBreakHyphen/>
      </w:r>
      <w:r w:rsidRPr="00401FAC">
        <w:rPr>
          <w:rFonts w:cs="Times New Roman"/>
          <w:u w:color="000000" w:themeColor="text1"/>
        </w:rPr>
        <w:t>six; or</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(b)</w:t>
      </w:r>
      <w:r w:rsidRPr="00401FAC">
        <w:rPr>
          <w:rFonts w:cs="Times New Roman"/>
          <w:u w:color="000000" w:themeColor="text1"/>
        </w:rPr>
        <w:tab/>
        <w:t xml:space="preserve">an individual with respect to which a disability certification, as defined in Section 529A(e)(2) of the federal Internal Revenue Code of 1986, as amended, to the satisfaction of the Secretary of the United States Treasury is filed with the </w:t>
      </w:r>
      <w:r>
        <w:rPr>
          <w:rFonts w:cs="Times New Roman"/>
          <w:u w:color="000000" w:themeColor="text1"/>
        </w:rPr>
        <w:t>Secretary</w:t>
      </w:r>
      <w:r w:rsidRPr="00401FAC">
        <w:rPr>
          <w:rFonts w:cs="Times New Roman"/>
          <w:u w:color="000000" w:themeColor="text1"/>
        </w:rPr>
        <w:t xml:space="preserve"> for a taxable year and the blindness or disability occurred before the date on which the individual attained age twenty</w:t>
      </w:r>
      <w:r>
        <w:rPr>
          <w:rFonts w:cs="Times New Roman"/>
          <w:u w:color="000000" w:themeColor="text1"/>
        </w:rPr>
        <w:noBreakHyphen/>
      </w:r>
      <w:r w:rsidRPr="00401FAC">
        <w:rPr>
          <w:rFonts w:cs="Times New Roman"/>
          <w:u w:color="000000" w:themeColor="text1"/>
        </w:rPr>
        <w:t xml:space="preserve">six. </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(5)</w:t>
      </w:r>
      <w:r w:rsidRPr="00401FAC">
        <w:rPr>
          <w:rFonts w:cs="Times New Roman"/>
          <w:u w:color="000000" w:themeColor="text1"/>
        </w:rPr>
        <w:tab/>
      </w:r>
      <w:r w:rsidRPr="000136AF">
        <w:rPr>
          <w:rFonts w:cs="Times New Roman"/>
          <w:u w:color="000000" w:themeColor="text1"/>
        </w:rPr>
        <w:t>‘</w:t>
      </w:r>
      <w:r w:rsidRPr="00401FAC">
        <w:rPr>
          <w:rFonts w:cs="Times New Roman"/>
          <w:u w:color="000000" w:themeColor="text1"/>
        </w:rPr>
        <w:t>Financial organization</w:t>
      </w:r>
      <w:r w:rsidRPr="000136AF">
        <w:rPr>
          <w:rFonts w:cs="Times New Roman"/>
          <w:u w:color="000000" w:themeColor="text1"/>
        </w:rPr>
        <w:t>’</w:t>
      </w:r>
      <w:r w:rsidRPr="00401FAC">
        <w:rPr>
          <w:rFonts w:cs="Times New Roman"/>
          <w:u w:color="000000" w:themeColor="text1"/>
        </w:rPr>
        <w:t xml:space="preserve"> means an organization authorized to do business in this State and is:</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(a)</w:t>
      </w:r>
      <w:r w:rsidRPr="00401FAC">
        <w:rPr>
          <w:rFonts w:cs="Times New Roman"/>
          <w:u w:color="000000" w:themeColor="text1"/>
        </w:rPr>
        <w:tab/>
        <w:t>licensed or chartered by the Director of Insurance;</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(b)</w:t>
      </w:r>
      <w:r w:rsidRPr="00401FAC">
        <w:rPr>
          <w:rFonts w:cs="Times New Roman"/>
          <w:u w:color="000000" w:themeColor="text1"/>
        </w:rPr>
        <w:tab/>
        <w:t>licensed or chartered by the State Commissioner of Banking;</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(c)</w:t>
      </w:r>
      <w:r w:rsidRPr="00401FAC">
        <w:rPr>
          <w:rFonts w:cs="Times New Roman"/>
          <w:u w:color="000000" w:themeColor="text1"/>
        </w:rPr>
        <w:tab/>
        <w:t>chartered by an agency of the federal government; or</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(d)</w:t>
      </w:r>
      <w:r w:rsidRPr="00401FAC">
        <w:rPr>
          <w:rFonts w:cs="Times New Roman"/>
          <w:u w:color="000000" w:themeColor="text1"/>
        </w:rPr>
        <w:tab/>
        <w:t>subject to the jurisdiction and regulation of the federal Securities and Exchange Commission.</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(6)</w:t>
      </w:r>
      <w:r w:rsidRPr="00401FAC">
        <w:rPr>
          <w:rFonts w:cs="Times New Roman"/>
          <w:u w:color="000000" w:themeColor="text1"/>
        </w:rPr>
        <w:tab/>
      </w:r>
      <w:r w:rsidRPr="000136AF">
        <w:rPr>
          <w:rFonts w:cs="Times New Roman"/>
          <w:u w:color="000000" w:themeColor="text1"/>
        </w:rPr>
        <w:t>‘</w:t>
      </w:r>
      <w:r w:rsidRPr="00401FAC">
        <w:rPr>
          <w:rFonts w:cs="Times New Roman"/>
          <w:u w:color="000000" w:themeColor="text1"/>
        </w:rPr>
        <w:t>Management contract</w:t>
      </w:r>
      <w:r w:rsidRPr="000136AF">
        <w:rPr>
          <w:rFonts w:cs="Times New Roman"/>
          <w:u w:color="000000" w:themeColor="text1"/>
        </w:rPr>
        <w:t>’</w:t>
      </w:r>
      <w:r w:rsidRPr="00401FAC">
        <w:rPr>
          <w:rFonts w:cs="Times New Roman"/>
          <w:u w:color="000000" w:themeColor="text1"/>
        </w:rPr>
        <w:t xml:space="preserve"> means a contract executed by the State Treasurer and a program manager selected to act as a depository or manager of the program, or both.</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(7)</w:t>
      </w:r>
      <w:r w:rsidRPr="00401FAC">
        <w:rPr>
          <w:rFonts w:cs="Times New Roman"/>
          <w:u w:color="000000" w:themeColor="text1"/>
        </w:rPr>
        <w:tab/>
      </w:r>
      <w:r w:rsidRPr="000136AF">
        <w:rPr>
          <w:rFonts w:cs="Times New Roman"/>
          <w:u w:color="000000" w:themeColor="text1"/>
        </w:rPr>
        <w:t>‘</w:t>
      </w:r>
      <w:r w:rsidRPr="00401FAC">
        <w:rPr>
          <w:rFonts w:cs="Times New Roman"/>
          <w:u w:color="000000" w:themeColor="text1"/>
        </w:rPr>
        <w:t>Member of the family</w:t>
      </w:r>
      <w:r w:rsidRPr="000136AF">
        <w:rPr>
          <w:rFonts w:cs="Times New Roman"/>
          <w:u w:color="000000" w:themeColor="text1"/>
        </w:rPr>
        <w:t>’</w:t>
      </w:r>
      <w:r w:rsidRPr="00401FAC">
        <w:rPr>
          <w:rFonts w:cs="Times New Roman"/>
          <w:u w:color="000000" w:themeColor="text1"/>
        </w:rPr>
        <w:t xml:space="preserve"> has the meaning defined in Section 529A of the federal Internal Revenue Code of 1986, as amended.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(8)</w:t>
      </w:r>
      <w:r w:rsidRPr="00401FAC">
        <w:rPr>
          <w:rFonts w:cs="Times New Roman"/>
          <w:u w:color="000000" w:themeColor="text1"/>
        </w:rPr>
        <w:tab/>
      </w:r>
      <w:r w:rsidRPr="000136AF">
        <w:rPr>
          <w:rFonts w:cs="Times New Roman"/>
          <w:u w:color="000000" w:themeColor="text1"/>
        </w:rPr>
        <w:t>‘</w:t>
      </w:r>
      <w:r w:rsidRPr="00401FAC">
        <w:rPr>
          <w:rFonts w:cs="Times New Roman"/>
          <w:u w:color="000000" w:themeColor="text1"/>
        </w:rPr>
        <w:t>Nonqualified withdrawal</w:t>
      </w:r>
      <w:r w:rsidRPr="000136AF">
        <w:rPr>
          <w:rFonts w:cs="Times New Roman"/>
          <w:u w:color="000000" w:themeColor="text1"/>
        </w:rPr>
        <w:t>’</w:t>
      </w:r>
      <w:r w:rsidRPr="00401FAC">
        <w:rPr>
          <w:rFonts w:cs="Times New Roman"/>
          <w:u w:color="000000" w:themeColor="text1"/>
        </w:rPr>
        <w:t xml:space="preserve"> means a withdrawal from an account which is not:</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(a)</w:t>
      </w:r>
      <w:r w:rsidRPr="00401FAC">
        <w:rPr>
          <w:rFonts w:cs="Times New Roman"/>
          <w:u w:color="000000" w:themeColor="text1"/>
        </w:rPr>
        <w:tab/>
        <w:t>a qualified withdrawal; or</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(b)</w:t>
      </w:r>
      <w:r w:rsidRPr="00401FAC">
        <w:rPr>
          <w:rFonts w:cs="Times New Roman"/>
          <w:u w:color="000000" w:themeColor="text1"/>
        </w:rPr>
        <w:tab/>
        <w:t>a rollover distribution.</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(9)</w:t>
      </w:r>
      <w:r w:rsidRPr="00401FAC">
        <w:rPr>
          <w:rFonts w:cs="Times New Roman"/>
          <w:u w:color="000000" w:themeColor="text1"/>
        </w:rPr>
        <w:tab/>
      </w:r>
      <w:r w:rsidRPr="000136AF">
        <w:rPr>
          <w:rFonts w:cs="Times New Roman"/>
          <w:u w:color="000000" w:themeColor="text1"/>
        </w:rPr>
        <w:t>‘</w:t>
      </w:r>
      <w:r w:rsidRPr="00401FAC">
        <w:rPr>
          <w:rFonts w:cs="Times New Roman"/>
          <w:u w:color="000000" w:themeColor="text1"/>
        </w:rPr>
        <w:t>Program</w:t>
      </w:r>
      <w:r w:rsidRPr="000136AF">
        <w:rPr>
          <w:rFonts w:cs="Times New Roman"/>
          <w:u w:color="000000" w:themeColor="text1"/>
        </w:rPr>
        <w:t>’</w:t>
      </w:r>
      <w:r w:rsidRPr="00401FAC">
        <w:rPr>
          <w:rFonts w:cs="Times New Roman"/>
          <w:u w:color="000000" w:themeColor="text1"/>
        </w:rPr>
        <w:t xml:space="preserve"> means the South Carolina ABLE Savings Program established pursuant to this article.</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(10)</w:t>
      </w:r>
      <w:r w:rsidRPr="00401FAC">
        <w:rPr>
          <w:rFonts w:cs="Times New Roman"/>
          <w:u w:color="000000" w:themeColor="text1"/>
        </w:rPr>
        <w:tab/>
      </w:r>
      <w:r w:rsidRPr="000136AF">
        <w:rPr>
          <w:rFonts w:cs="Times New Roman"/>
          <w:u w:color="000000" w:themeColor="text1"/>
        </w:rPr>
        <w:t>‘</w:t>
      </w:r>
      <w:r w:rsidRPr="00401FAC">
        <w:rPr>
          <w:rFonts w:cs="Times New Roman"/>
          <w:u w:color="000000" w:themeColor="text1"/>
        </w:rPr>
        <w:t>Program manager</w:t>
      </w:r>
      <w:r w:rsidRPr="000136AF">
        <w:rPr>
          <w:rFonts w:cs="Times New Roman"/>
          <w:u w:color="000000" w:themeColor="text1"/>
        </w:rPr>
        <w:t>’</w:t>
      </w:r>
      <w:r w:rsidRPr="00401FAC">
        <w:rPr>
          <w:rFonts w:cs="Times New Roman"/>
          <w:u w:color="000000" w:themeColor="text1"/>
        </w:rPr>
        <w:t xml:space="preserve"> means a financial organization or an agency or department of another state that has been designated to administer a qualified ABLE Savings Program selected by the State Treasurer to act as a depository or manager of the program, or both.</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(11)</w:t>
      </w:r>
      <w:r w:rsidRPr="00401FAC">
        <w:rPr>
          <w:rFonts w:cs="Times New Roman"/>
          <w:u w:color="000000" w:themeColor="text1"/>
        </w:rPr>
        <w:tab/>
      </w:r>
      <w:r w:rsidRPr="000136AF">
        <w:rPr>
          <w:rFonts w:cs="Times New Roman"/>
          <w:u w:color="000000" w:themeColor="text1"/>
        </w:rPr>
        <w:t>‘</w:t>
      </w:r>
      <w:r w:rsidRPr="00401FAC">
        <w:rPr>
          <w:rFonts w:cs="Times New Roman"/>
          <w:u w:color="000000" w:themeColor="text1"/>
        </w:rPr>
        <w:t>Qualified disability expense</w:t>
      </w:r>
      <w:r w:rsidRPr="000136AF">
        <w:rPr>
          <w:rFonts w:cs="Times New Roman"/>
          <w:u w:color="000000" w:themeColor="text1"/>
        </w:rPr>
        <w:t>’</w:t>
      </w:r>
      <w:r w:rsidRPr="00401FAC">
        <w:rPr>
          <w:rFonts w:cs="Times New Roman"/>
          <w:u w:color="000000" w:themeColor="text1"/>
        </w:rPr>
        <w:t xml:space="preserve"> means any qualified disability expense included in Section 529A of the federal Internal Revenue Code of 1986, as amended.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(12)</w:t>
      </w:r>
      <w:r w:rsidRPr="00401FAC">
        <w:rPr>
          <w:rFonts w:cs="Times New Roman"/>
          <w:u w:color="000000" w:themeColor="text1"/>
        </w:rPr>
        <w:tab/>
      </w:r>
      <w:r w:rsidRPr="000136AF">
        <w:rPr>
          <w:rFonts w:cs="Times New Roman"/>
          <w:u w:color="000000" w:themeColor="text1"/>
        </w:rPr>
        <w:t>‘</w:t>
      </w:r>
      <w:r w:rsidRPr="00401FAC">
        <w:rPr>
          <w:rFonts w:cs="Times New Roman"/>
          <w:u w:color="000000" w:themeColor="text1"/>
        </w:rPr>
        <w:t>Qualified withdrawal</w:t>
      </w:r>
      <w:r w:rsidRPr="000136AF">
        <w:rPr>
          <w:rFonts w:cs="Times New Roman"/>
          <w:u w:color="000000" w:themeColor="text1"/>
        </w:rPr>
        <w:t>’</w:t>
      </w:r>
      <w:r w:rsidRPr="00401FAC">
        <w:rPr>
          <w:rFonts w:cs="Times New Roman"/>
          <w:u w:color="000000" w:themeColor="text1"/>
        </w:rPr>
        <w:t xml:space="preserve"> means a withdrawal from an account to pay the qualified disability expenses of the designated beneficiary of the account.</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(13)</w:t>
      </w:r>
      <w:r w:rsidRPr="00401FAC">
        <w:rPr>
          <w:rFonts w:cs="Times New Roman"/>
          <w:u w:color="000000" w:themeColor="text1"/>
        </w:rPr>
        <w:tab/>
      </w:r>
      <w:r w:rsidRPr="000136AF">
        <w:rPr>
          <w:rFonts w:cs="Times New Roman"/>
          <w:u w:color="000000" w:themeColor="text1"/>
        </w:rPr>
        <w:t>‘</w:t>
      </w:r>
      <w:r w:rsidRPr="00401FAC">
        <w:rPr>
          <w:rFonts w:cs="Times New Roman"/>
          <w:u w:color="000000" w:themeColor="text1"/>
        </w:rPr>
        <w:t>Rollover distribution</w:t>
      </w:r>
      <w:r w:rsidRPr="000136AF">
        <w:rPr>
          <w:rFonts w:cs="Times New Roman"/>
          <w:u w:color="000000" w:themeColor="text1"/>
        </w:rPr>
        <w:t>’</w:t>
      </w:r>
      <w:r w:rsidRPr="00401FAC">
        <w:rPr>
          <w:rFonts w:cs="Times New Roman"/>
          <w:u w:color="000000" w:themeColor="text1"/>
        </w:rPr>
        <w:t xml:space="preserve"> means a rollover distribution as defined in Section 529A of the federal Internal Revenue Code of 1986, as amended.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(14)</w:t>
      </w:r>
      <w:r w:rsidRPr="00401FAC">
        <w:rPr>
          <w:rFonts w:cs="Times New Roman"/>
          <w:u w:color="000000" w:themeColor="text1"/>
        </w:rPr>
        <w:tab/>
      </w:r>
      <w:r w:rsidRPr="000136AF">
        <w:rPr>
          <w:rFonts w:cs="Times New Roman"/>
          <w:u w:color="000000" w:themeColor="text1"/>
        </w:rPr>
        <w:t>‘</w:t>
      </w:r>
      <w:r w:rsidRPr="00401FAC">
        <w:rPr>
          <w:rFonts w:cs="Times New Roman"/>
          <w:u w:color="000000" w:themeColor="text1"/>
        </w:rPr>
        <w:t>Savings agreement</w:t>
      </w:r>
      <w:r w:rsidRPr="000136AF">
        <w:rPr>
          <w:rFonts w:cs="Times New Roman"/>
          <w:u w:color="000000" w:themeColor="text1"/>
        </w:rPr>
        <w:t>’</w:t>
      </w:r>
      <w:r w:rsidRPr="00401FAC">
        <w:rPr>
          <w:rFonts w:cs="Times New Roman"/>
          <w:u w:color="000000" w:themeColor="text1"/>
        </w:rPr>
        <w:t xml:space="preserve"> means an agreement between the program manager or the State Treasurer and the account owner.</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(15)</w:t>
      </w:r>
      <w:r w:rsidRPr="00401FAC">
        <w:rPr>
          <w:rFonts w:cs="Times New Roman"/>
          <w:u w:color="000000" w:themeColor="text1"/>
        </w:rPr>
        <w:tab/>
      </w:r>
      <w:r w:rsidRPr="000136AF">
        <w:rPr>
          <w:rFonts w:cs="Times New Roman"/>
          <w:u w:color="000000" w:themeColor="text1"/>
        </w:rPr>
        <w:t>‘</w:t>
      </w:r>
      <w:r w:rsidRPr="00401FAC">
        <w:rPr>
          <w:rFonts w:cs="Times New Roman"/>
          <w:u w:color="000000" w:themeColor="text1"/>
        </w:rPr>
        <w:t>Secretary</w:t>
      </w:r>
      <w:r w:rsidRPr="000136AF">
        <w:rPr>
          <w:rFonts w:cs="Times New Roman"/>
          <w:u w:color="000000" w:themeColor="text1"/>
        </w:rPr>
        <w:t>’</w:t>
      </w:r>
      <w:r w:rsidRPr="00401FAC">
        <w:rPr>
          <w:rFonts w:cs="Times New Roman"/>
          <w:u w:color="000000" w:themeColor="text1"/>
        </w:rPr>
        <w:t xml:space="preserve"> means the Secretary of the United States Treasury.</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Section 11</w:t>
      </w:r>
      <w:r>
        <w:rPr>
          <w:rFonts w:cs="Times New Roman"/>
          <w:u w:color="000000" w:themeColor="text1"/>
        </w:rPr>
        <w:noBreakHyphen/>
      </w:r>
      <w:r w:rsidRPr="00401FAC">
        <w:rPr>
          <w:rFonts w:cs="Times New Roman"/>
          <w:u w:color="000000" w:themeColor="text1"/>
        </w:rPr>
        <w:t>5</w:t>
      </w:r>
      <w:r>
        <w:rPr>
          <w:rFonts w:cs="Times New Roman"/>
          <w:u w:color="000000" w:themeColor="text1"/>
        </w:rPr>
        <w:noBreakHyphen/>
      </w:r>
      <w:r w:rsidRPr="00401FAC">
        <w:rPr>
          <w:rFonts w:cs="Times New Roman"/>
          <w:u w:color="000000" w:themeColor="text1"/>
        </w:rPr>
        <w:t>420.</w:t>
      </w:r>
      <w:r w:rsidRPr="00401FAC">
        <w:rPr>
          <w:rFonts w:cs="Times New Roman"/>
          <w:u w:color="000000" w:themeColor="text1"/>
        </w:rPr>
        <w:tab/>
        <w:t>(A)</w:t>
      </w:r>
      <w:r w:rsidRPr="00401FAC">
        <w:rPr>
          <w:rFonts w:cs="Times New Roman"/>
          <w:u w:color="000000" w:themeColor="text1"/>
        </w:rPr>
        <w:tab/>
        <w:t>The State Treasurer shall implement and administer the program under the terms and conditions established by this article. The State Treasurer has the authority and responsibility to:</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(1)</w:t>
      </w:r>
      <w:r w:rsidRPr="00401FAC">
        <w:rPr>
          <w:rFonts w:cs="Times New Roman"/>
          <w:u w:color="000000" w:themeColor="text1"/>
        </w:rPr>
        <w:tab/>
        <w:t>develop and implement the program in a manner consistent with the provisions of this article;</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(2)</w:t>
      </w:r>
      <w:r w:rsidRPr="00401FAC">
        <w:rPr>
          <w:rFonts w:cs="Times New Roman"/>
          <w:u w:color="000000" w:themeColor="text1"/>
        </w:rPr>
        <w:tab/>
        <w:t>engage the services of consultants on a contract basis for rendering professional and technical assistance and advice;</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(3)</w:t>
      </w:r>
      <w:r w:rsidRPr="00401FAC">
        <w:rPr>
          <w:rFonts w:cs="Times New Roman"/>
          <w:u w:color="000000" w:themeColor="text1"/>
        </w:rPr>
        <w:tab/>
        <w:t xml:space="preserve">seek rulings and other guidance from the </w:t>
      </w:r>
      <w:r>
        <w:rPr>
          <w:rFonts w:cs="Times New Roman"/>
          <w:u w:color="000000" w:themeColor="text1"/>
        </w:rPr>
        <w:t>Secretary</w:t>
      </w:r>
      <w:r w:rsidRPr="00401FAC">
        <w:rPr>
          <w:rFonts w:cs="Times New Roman"/>
          <w:u w:color="000000" w:themeColor="text1"/>
        </w:rPr>
        <w:t xml:space="preserve"> and the federal Internal Revenue Service relating to the program;</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(4)</w:t>
      </w:r>
      <w:r w:rsidRPr="00401FAC">
        <w:rPr>
          <w:rFonts w:cs="Times New Roman"/>
          <w:u w:color="000000" w:themeColor="text1"/>
        </w:rPr>
        <w:tab/>
        <w:t xml:space="preserve">make changes to the program required for the participants in the program to obtain the federal income tax benefits or treatment provided by </w:t>
      </w:r>
      <w:r>
        <w:rPr>
          <w:rFonts w:cs="Times New Roman"/>
          <w:u w:color="000000" w:themeColor="text1"/>
        </w:rPr>
        <w:t>Section</w:t>
      </w:r>
      <w:r w:rsidRPr="00401FAC">
        <w:rPr>
          <w:rFonts w:cs="Times New Roman"/>
          <w:u w:color="000000" w:themeColor="text1"/>
        </w:rPr>
        <w:t xml:space="preserve"> 529A of the federal Internal Revenue Code of 1986, as amended;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(5)</w:t>
      </w:r>
      <w:r w:rsidRPr="00401FAC">
        <w:rPr>
          <w:rFonts w:cs="Times New Roman"/>
          <w:u w:color="000000" w:themeColor="text1"/>
        </w:rPr>
        <w:tab/>
        <w:t>charge, impose, and collect administrative fees and service charges in connection with any agreement, contract, or transaction relating to the program;</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(6)</w:t>
      </w:r>
      <w:r w:rsidRPr="00401FAC">
        <w:rPr>
          <w:rFonts w:cs="Times New Roman"/>
          <w:u w:color="000000" w:themeColor="text1"/>
        </w:rPr>
        <w:tab/>
        <w:t>develop marketing plans and promotional materials;</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(7)</w:t>
      </w:r>
      <w:r w:rsidRPr="00401FAC">
        <w:rPr>
          <w:rFonts w:cs="Times New Roman"/>
          <w:u w:color="000000" w:themeColor="text1"/>
        </w:rPr>
        <w:tab/>
        <w:t>establish the methods by which the funds held in accounts must be dispersed;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(8)</w:t>
      </w:r>
      <w:r w:rsidRPr="00401FAC">
        <w:rPr>
          <w:rFonts w:cs="Times New Roman"/>
          <w:u w:color="000000" w:themeColor="text1"/>
        </w:rPr>
        <w:tab/>
        <w:t>establish the method by which funds must be allocated to pay for administrative costs;</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(9)</w:t>
      </w:r>
      <w:r w:rsidRPr="00401FAC">
        <w:rPr>
          <w:rFonts w:cs="Times New Roman"/>
          <w:u w:color="000000" w:themeColor="text1"/>
        </w:rPr>
        <w:tab/>
        <w:t>do all things necessary and proper to carry out the purposes of this article;</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(10)</w:t>
      </w:r>
      <w:r w:rsidRPr="00401FAC">
        <w:rPr>
          <w:rFonts w:cs="Times New Roman"/>
          <w:u w:color="000000" w:themeColor="text1"/>
        </w:rPr>
        <w:tab/>
        <w:t>adopt rules and promulgate regulations necessary to effectuate the provisions of this article;</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(11)</w:t>
      </w:r>
      <w:r w:rsidRPr="00401FAC">
        <w:rPr>
          <w:rFonts w:cs="Times New Roman"/>
          <w:u w:color="000000" w:themeColor="text1"/>
        </w:rPr>
        <w:tab/>
        <w:t>prepare an annual report of the ABLE Savings Program to the Governor, the Senate, and the House of Representatives; and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(12)</w:t>
      </w:r>
      <w:r w:rsidRPr="00401FAC">
        <w:rPr>
          <w:rFonts w:cs="Times New Roman"/>
          <w:u w:color="000000" w:themeColor="text1"/>
        </w:rPr>
        <w:tab/>
        <w:t xml:space="preserve">notify the </w:t>
      </w:r>
      <w:r>
        <w:rPr>
          <w:rFonts w:cs="Times New Roman"/>
          <w:u w:color="000000" w:themeColor="text1"/>
        </w:rPr>
        <w:t>Secretary</w:t>
      </w:r>
      <w:r w:rsidRPr="00401FAC">
        <w:rPr>
          <w:rFonts w:cs="Times New Roman"/>
          <w:u w:color="000000" w:themeColor="text1"/>
        </w:rPr>
        <w:t xml:space="preserve"> when an account has been opened for a designated beneficiary and submit other reports concerning the program required by the </w:t>
      </w:r>
      <w:r>
        <w:rPr>
          <w:rFonts w:cs="Times New Roman"/>
          <w:u w:color="000000" w:themeColor="text1"/>
        </w:rPr>
        <w:t>Secretary</w:t>
      </w:r>
      <w:r w:rsidRPr="00401FAC">
        <w:rPr>
          <w:rFonts w:cs="Times New Roman"/>
          <w:u w:color="000000" w:themeColor="text1"/>
        </w:rPr>
        <w:t>.</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(B)</w:t>
      </w:r>
      <w:r w:rsidRPr="00401FAC">
        <w:rPr>
          <w:rFonts w:cs="Times New Roman"/>
          <w:u w:color="000000" w:themeColor="text1"/>
        </w:rPr>
        <w:tab/>
        <w:t>The State Treasurer may contract with other states in developing the program.</w:t>
      </w:r>
      <w:r w:rsidRPr="00401FAC">
        <w:rPr>
          <w:rFonts w:cs="Times New Roman"/>
          <w:u w:color="000000" w:themeColor="text1"/>
        </w:rPr>
        <w:tab/>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Section 11</w:t>
      </w:r>
      <w:r>
        <w:rPr>
          <w:rFonts w:cs="Times New Roman"/>
          <w:u w:color="000000" w:themeColor="text1"/>
        </w:rPr>
        <w:noBreakHyphen/>
      </w:r>
      <w:r w:rsidRPr="00401FAC">
        <w:rPr>
          <w:rFonts w:cs="Times New Roman"/>
          <w:u w:color="000000" w:themeColor="text1"/>
        </w:rPr>
        <w:t>5</w:t>
      </w:r>
      <w:r>
        <w:rPr>
          <w:rFonts w:cs="Times New Roman"/>
          <w:u w:color="000000" w:themeColor="text1"/>
        </w:rPr>
        <w:noBreakHyphen/>
      </w:r>
      <w:r w:rsidRPr="00401FAC">
        <w:rPr>
          <w:rFonts w:cs="Times New Roman"/>
          <w:u w:color="000000" w:themeColor="text1"/>
        </w:rPr>
        <w:t>430.</w:t>
      </w:r>
      <w:r w:rsidRPr="00401FAC">
        <w:rPr>
          <w:rFonts w:cs="Times New Roman"/>
          <w:u w:color="000000" w:themeColor="text1"/>
        </w:rPr>
        <w:tab/>
        <w:t>(A)</w:t>
      </w:r>
      <w:r w:rsidRPr="00401FAC">
        <w:rPr>
          <w:rFonts w:cs="Times New Roman"/>
          <w:u w:color="000000" w:themeColor="text1"/>
        </w:rPr>
        <w:tab/>
        <w:t>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(1)</w:t>
      </w:r>
      <w:r w:rsidRPr="00401FAC">
        <w:rPr>
          <w:rFonts w:cs="Times New Roman"/>
          <w:u w:color="000000" w:themeColor="text1"/>
        </w:rPr>
        <w:tab/>
        <w:t>financial stability and integrity of the program manager;</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(2)</w:t>
      </w:r>
      <w:r w:rsidRPr="00401FAC">
        <w:rPr>
          <w:rFonts w:cs="Times New Roman"/>
          <w:u w:color="000000" w:themeColor="text1"/>
        </w:rPr>
        <w:tab/>
        <w:t>the safety of the investment instrument being offered;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(3)</w:t>
      </w:r>
      <w:r w:rsidRPr="00401FAC">
        <w:rPr>
          <w:rFonts w:cs="Times New Roman"/>
          <w:u w:color="000000" w:themeColor="text1"/>
        </w:rPr>
        <w:tab/>
        <w:t>the ability of the program manager to satisfy recordkeeping and reporting requirements;</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(4)</w:t>
      </w:r>
      <w:r w:rsidRPr="00401FAC">
        <w:rPr>
          <w:rFonts w:cs="Times New Roman"/>
          <w:u w:color="000000" w:themeColor="text1"/>
        </w:rPr>
        <w:tab/>
        <w:t>the program manager</w:t>
      </w:r>
      <w:r w:rsidRPr="000136AF">
        <w:rPr>
          <w:rFonts w:cs="Times New Roman"/>
          <w:u w:color="000000" w:themeColor="text1"/>
        </w:rPr>
        <w:t>’</w:t>
      </w:r>
      <w:r w:rsidRPr="00401FAC">
        <w:rPr>
          <w:rFonts w:cs="Times New Roman"/>
          <w:u w:color="000000" w:themeColor="text1"/>
        </w:rPr>
        <w:t>s plan for promoting the program and the investment the organization is willing to make to promote the program;</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(5)</w:t>
      </w:r>
      <w:r w:rsidRPr="00401FAC">
        <w:rPr>
          <w:rFonts w:cs="Times New Roman"/>
          <w:u w:color="000000" w:themeColor="text1"/>
        </w:rPr>
        <w:tab/>
        <w:t>the fees, if any, proposed to be charged to the account owners;</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(6)</w:t>
      </w:r>
      <w:r w:rsidRPr="00401FAC">
        <w:rPr>
          <w:rFonts w:cs="Times New Roman"/>
          <w:u w:color="000000" w:themeColor="text1"/>
        </w:rPr>
        <w:tab/>
        <w:t>the minimum initial deposit and minimum contributions that the financial organization requires;</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(7)</w:t>
      </w:r>
      <w:r w:rsidRPr="00401FAC">
        <w:rPr>
          <w:rFonts w:cs="Times New Roman"/>
          <w:u w:color="000000" w:themeColor="text1"/>
        </w:rPr>
        <w:tab/>
        <w:t>the ability of the program manager to accept electronic withdrawals, including payroll deduction plans; and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(8)</w:t>
      </w:r>
      <w:r w:rsidRPr="00401FAC">
        <w:rPr>
          <w:rFonts w:cs="Times New Roman"/>
          <w:u w:color="000000" w:themeColor="text1"/>
        </w:rPr>
        <w:tab/>
        <w:t>other benefits to the State or its residents included in the proposal, including fees payable to the State to cover expenses of the operation of the program.</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(B)</w:t>
      </w:r>
      <w:r w:rsidRPr="00401FAC">
        <w:rPr>
          <w:rFonts w:cs="Times New Roman"/>
          <w:u w:color="000000" w:themeColor="text1"/>
        </w:rPr>
        <w:tab/>
        <w:t>The State Treasurer may enter into contracts with program managers necessary to effectuate the provisions of this article. A management contract must include, at a minimum, terms requiring the program managers to:</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(1)</w:t>
      </w:r>
      <w:r w:rsidRPr="00401FAC">
        <w:rPr>
          <w:rFonts w:cs="Times New Roman"/>
          <w:u w:color="000000" w:themeColor="text1"/>
        </w:rPr>
        <w:tab/>
        <w:t xml:space="preserve">take action required to keep the program in compliance with requirements of this article and take actions not contrary to its contract to manage the program to qualify as a </w:t>
      </w:r>
      <w:r w:rsidRPr="000136AF">
        <w:rPr>
          <w:rFonts w:cs="Times New Roman"/>
          <w:u w:color="000000" w:themeColor="text1"/>
        </w:rPr>
        <w:t>‘</w:t>
      </w:r>
      <w:r w:rsidRPr="00401FAC">
        <w:rPr>
          <w:rFonts w:cs="Times New Roman"/>
          <w:u w:color="000000" w:themeColor="text1"/>
        </w:rPr>
        <w:t>qualified ABLE Savings Program</w:t>
      </w:r>
      <w:r w:rsidRPr="000136AF">
        <w:rPr>
          <w:rFonts w:cs="Times New Roman"/>
          <w:u w:color="000000" w:themeColor="text1"/>
        </w:rPr>
        <w:t>’</w:t>
      </w:r>
      <w:r w:rsidRPr="00401FAC">
        <w:rPr>
          <w:rFonts w:cs="Times New Roman"/>
          <w:u w:color="000000" w:themeColor="text1"/>
        </w:rPr>
        <w:t xml:space="preserve"> as defined in Section 529A of the federal Internal Revenue Code of 1986, as amended;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(2)</w:t>
      </w:r>
      <w:r w:rsidRPr="00401FAC">
        <w:rPr>
          <w:rFonts w:cs="Times New Roman"/>
          <w:u w:color="000000" w:themeColor="text1"/>
        </w:rPr>
        <w:tab/>
        <w:t>keep adequate records of each account, keep each account segregated, and provide the State Treasurer with the information necessary to prepare the statements required by Section 11</w:t>
      </w:r>
      <w:r>
        <w:rPr>
          <w:rFonts w:cs="Times New Roman"/>
          <w:u w:color="000000" w:themeColor="text1"/>
        </w:rPr>
        <w:noBreakHyphen/>
      </w:r>
      <w:r w:rsidRPr="00401FAC">
        <w:rPr>
          <w:rFonts w:cs="Times New Roman"/>
          <w:u w:color="000000" w:themeColor="text1"/>
        </w:rPr>
        <w:t>5</w:t>
      </w:r>
      <w:r>
        <w:rPr>
          <w:rFonts w:cs="Times New Roman"/>
          <w:u w:color="000000" w:themeColor="text1"/>
        </w:rPr>
        <w:noBreakHyphen/>
      </w:r>
      <w:r w:rsidRPr="00401FAC">
        <w:rPr>
          <w:rFonts w:cs="Times New Roman"/>
          <w:u w:color="000000" w:themeColor="text1"/>
        </w:rPr>
        <w:t>440;</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(3)</w:t>
      </w:r>
      <w:r w:rsidRPr="00401FAC">
        <w:rPr>
          <w:rFonts w:cs="Times New Roman"/>
          <w:u w:color="000000" w:themeColor="text1"/>
        </w:rPr>
        <w:tab/>
        <w:t>compile and total information contained in statements required to be prepared under Section 11</w:t>
      </w:r>
      <w:r>
        <w:rPr>
          <w:rFonts w:cs="Times New Roman"/>
          <w:u w:color="000000" w:themeColor="text1"/>
        </w:rPr>
        <w:noBreakHyphen/>
      </w:r>
      <w:r w:rsidRPr="00401FAC">
        <w:rPr>
          <w:rFonts w:cs="Times New Roman"/>
          <w:u w:color="000000" w:themeColor="text1"/>
        </w:rPr>
        <w:t>5</w:t>
      </w:r>
      <w:r>
        <w:rPr>
          <w:rFonts w:cs="Times New Roman"/>
          <w:u w:color="000000" w:themeColor="text1"/>
        </w:rPr>
        <w:noBreakHyphen/>
      </w:r>
      <w:r w:rsidRPr="00401FAC">
        <w:rPr>
          <w:rFonts w:cs="Times New Roman"/>
          <w:u w:color="000000" w:themeColor="text1"/>
        </w:rPr>
        <w:t>440 and provide compilations to the State Treasurer;</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(4)</w:t>
      </w:r>
      <w:r w:rsidRPr="00401FAC">
        <w:rPr>
          <w:rFonts w:cs="Times New Roman"/>
          <w:u w:color="000000" w:themeColor="text1"/>
        </w:rPr>
        <w:tab/>
        <w:t>if there is more than one program manager, provide the State Treasurer with information as is necessary to determine compliance with Section 11</w:t>
      </w:r>
      <w:r>
        <w:rPr>
          <w:rFonts w:cs="Times New Roman"/>
          <w:u w:color="000000" w:themeColor="text1"/>
        </w:rPr>
        <w:noBreakHyphen/>
      </w:r>
      <w:r w:rsidRPr="00401FAC">
        <w:rPr>
          <w:rFonts w:cs="Times New Roman"/>
          <w:u w:color="000000" w:themeColor="text1"/>
        </w:rPr>
        <w:t>5</w:t>
      </w:r>
      <w:r>
        <w:rPr>
          <w:rFonts w:cs="Times New Roman"/>
          <w:u w:color="000000" w:themeColor="text1"/>
        </w:rPr>
        <w:noBreakHyphen/>
      </w:r>
      <w:r w:rsidRPr="00401FAC">
        <w:rPr>
          <w:rFonts w:cs="Times New Roman"/>
          <w:u w:color="000000" w:themeColor="text1"/>
        </w:rPr>
        <w:t>440;</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(5)</w:t>
      </w:r>
      <w:r w:rsidRPr="00401FAC">
        <w:rPr>
          <w:rFonts w:cs="Times New Roman"/>
          <w:u w:color="000000" w:themeColor="text1"/>
        </w:rPr>
        <w:tab/>
        <w:t>provide the State Treasurer with access to the books and records of the program manager to the extent needed to determine compliance with the contract, this article, and Section 529A of the federal Internal Revenue Code of 1986, as amended;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(6)</w:t>
      </w:r>
      <w:r w:rsidRPr="00401FAC">
        <w:rPr>
          <w:rFonts w:cs="Times New Roman"/>
          <w:u w:color="000000" w:themeColor="text1"/>
        </w:rPr>
        <w:tab/>
        <w:t>hold all accounts for the benefit of the account owner, owners, or the designated beneficiary;</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(7)</w:t>
      </w:r>
      <w:r w:rsidRPr="00401FAC">
        <w:rPr>
          <w:rFonts w:cs="Times New Roman"/>
          <w:u w:color="000000" w:themeColor="text1"/>
        </w:rPr>
        <w:tab/>
        <w:t>be audited at least annually by a firm of certified public accountants selected by the program manager, with the approval of the State Treasurer, and provide the results of the audit to the State Treasurer;</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(8)</w:t>
      </w:r>
      <w:r w:rsidRPr="00401FAC">
        <w:rPr>
          <w:rFonts w:cs="Times New Roman"/>
          <w:u w:color="000000" w:themeColor="text1"/>
        </w:rPr>
        <w:tab/>
        <w:t>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(9)</w:t>
      </w:r>
      <w:r w:rsidRPr="00401FAC">
        <w:rPr>
          <w:rFonts w:cs="Times New Roman"/>
          <w:u w:color="000000" w:themeColor="text1"/>
        </w:rPr>
        <w:tab/>
        <w:t>ensure that any description of the program, whether in writing or through the use of any media, is consistent with the marketing plan developed pursuant to the provisions of this article.</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(C)</w:t>
      </w:r>
      <w:r w:rsidRPr="00401FAC">
        <w:rPr>
          <w:rFonts w:cs="Times New Roman"/>
          <w:u w:color="000000" w:themeColor="text1"/>
        </w:rPr>
        <w:tab/>
        <w:t>The State Treasurer may:</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(1)</w:t>
      </w:r>
      <w:r w:rsidRPr="00401FAC">
        <w:rPr>
          <w:rFonts w:cs="Times New Roman"/>
          <w:u w:color="000000" w:themeColor="text1"/>
        </w:rPr>
        <w:tab/>
        <w:t>enter into contracts as he considers necessary and proper for the implementation of the program;</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(2)</w:t>
      </w:r>
      <w:r w:rsidRPr="00401FAC">
        <w:rPr>
          <w:rFonts w:cs="Times New Roman"/>
          <w:u w:color="000000" w:themeColor="text1"/>
        </w:rPr>
        <w:tab/>
        <w:t>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(3)</w:t>
      </w:r>
      <w:r w:rsidRPr="00401FAC">
        <w:rPr>
          <w:rFonts w:cs="Times New Roman"/>
          <w:u w:color="000000" w:themeColor="text1"/>
        </w:rPr>
        <w:tab/>
        <w:t>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(D)</w:t>
      </w:r>
      <w:r w:rsidRPr="00401FAC">
        <w:rPr>
          <w:rFonts w:cs="Times New Roman"/>
          <w:u w:color="000000" w:themeColor="text1"/>
        </w:rPr>
        <w:tab/>
        <w:t xml:space="preserve">The State Treasurer, the Department of Social Services, the Department of Health and Human Services, and the Department of Disability and Special Needs are authorized to exchange data regarding eligible individuals to carry out the purposes of this article. </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Section 11</w:t>
      </w:r>
      <w:r>
        <w:rPr>
          <w:rFonts w:cs="Times New Roman"/>
          <w:u w:color="000000" w:themeColor="text1"/>
        </w:rPr>
        <w:noBreakHyphen/>
      </w:r>
      <w:r w:rsidRPr="00401FAC">
        <w:rPr>
          <w:rFonts w:cs="Times New Roman"/>
          <w:u w:color="000000" w:themeColor="text1"/>
        </w:rPr>
        <w:t>5</w:t>
      </w:r>
      <w:r>
        <w:rPr>
          <w:rFonts w:cs="Times New Roman"/>
          <w:u w:color="000000" w:themeColor="text1"/>
        </w:rPr>
        <w:noBreakHyphen/>
      </w:r>
      <w:r w:rsidRPr="00401FAC">
        <w:rPr>
          <w:rFonts w:cs="Times New Roman"/>
          <w:u w:color="000000" w:themeColor="text1"/>
        </w:rPr>
        <w:t>440.</w:t>
      </w:r>
      <w:r w:rsidRPr="00401FAC">
        <w:rPr>
          <w:rFonts w:cs="Times New Roman"/>
          <w:u w:color="000000" w:themeColor="text1"/>
        </w:rPr>
        <w:tab/>
        <w:t>(A)</w:t>
      </w:r>
      <w:r w:rsidRPr="00401FAC">
        <w:rPr>
          <w:rFonts w:cs="Times New Roman"/>
          <w:u w:color="000000" w:themeColor="text1"/>
        </w:rPr>
        <w:tab/>
        <w:t>An ABLE savings account established pursuant to the provisions of this article must be opened by a designated beneficiary, a designated beneficiary</w:t>
      </w:r>
      <w:r w:rsidRPr="000136AF">
        <w:rPr>
          <w:rFonts w:cs="Times New Roman"/>
          <w:u w:color="000000" w:themeColor="text1"/>
        </w:rPr>
        <w:t>’</w:t>
      </w:r>
      <w:r w:rsidRPr="00401FAC">
        <w:rPr>
          <w:rFonts w:cs="Times New Roman"/>
          <w:u w:color="000000" w:themeColor="text1"/>
        </w:rPr>
        <w:t>s agent under a durable power of attorney, a trustee holding funds for the benefit of a designated beneficiary, or a court</w:t>
      </w:r>
      <w:r>
        <w:rPr>
          <w:rFonts w:cs="Times New Roman"/>
          <w:u w:color="000000" w:themeColor="text1"/>
        </w:rPr>
        <w:noBreakHyphen/>
      </w:r>
      <w:r w:rsidRPr="00401FAC">
        <w:rPr>
          <w:rFonts w:cs="Times New Roman"/>
          <w:u w:color="000000" w:themeColor="text1"/>
        </w:rPr>
        <w:t>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(1)</w:t>
      </w:r>
      <w:r w:rsidRPr="00401FAC">
        <w:rPr>
          <w:rFonts w:cs="Times New Roman"/>
          <w:u w:color="000000" w:themeColor="text1"/>
        </w:rPr>
        <w:tab/>
        <w:t>name, address, and social security number of the account owner;</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(2)</w:t>
      </w:r>
      <w:r w:rsidRPr="00401FAC">
        <w:rPr>
          <w:rFonts w:cs="Times New Roman"/>
          <w:u w:color="000000" w:themeColor="text1"/>
        </w:rPr>
        <w:tab/>
        <w:t>name, address, and social security number of the designated beneficiary, if the account owner is the beneficiary</w:t>
      </w:r>
      <w:r w:rsidRPr="000136AF">
        <w:rPr>
          <w:rFonts w:cs="Times New Roman"/>
          <w:u w:color="000000" w:themeColor="text1"/>
        </w:rPr>
        <w:t>’</w:t>
      </w:r>
      <w:r w:rsidRPr="00401FAC">
        <w:rPr>
          <w:rFonts w:cs="Times New Roman"/>
          <w:u w:color="000000" w:themeColor="text1"/>
        </w:rPr>
        <w:t>s trustee or guardian;</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(3)</w:t>
      </w:r>
      <w:r w:rsidRPr="00401FAC">
        <w:rPr>
          <w:rFonts w:cs="Times New Roman"/>
          <w:u w:color="000000" w:themeColor="text1"/>
        </w:rPr>
        <w:tab/>
        <w:t>certification relating to no excess contributions; and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(4)</w:t>
      </w:r>
      <w:r w:rsidRPr="00401FAC">
        <w:rPr>
          <w:rFonts w:cs="Times New Roman"/>
          <w:u w:color="000000" w:themeColor="text1"/>
        </w:rPr>
        <w:tab/>
        <w:t>additional information as the State Treasurer may require.</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(B)</w:t>
      </w:r>
      <w:r w:rsidRPr="00401FAC">
        <w:rPr>
          <w:rFonts w:cs="Times New Roman"/>
          <w:u w:color="000000" w:themeColor="text1"/>
        </w:rPr>
        <w:tab/>
        <w:t>A person may make contributions to an ABLE savings account after the account is opened, subject to the limitations imposed by Section 529A of the federal Internal Revenue Code of 1986, as amended, or any adopted rules and regulations promulgated by the State Treasurer pursuant to this article.</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(C)</w:t>
      </w:r>
      <w:r w:rsidRPr="00401FAC">
        <w:rPr>
          <w:rFonts w:cs="Times New Roman"/>
          <w:u w:color="000000" w:themeColor="text1"/>
        </w:rPr>
        <w:tab/>
        <w:t>Contributions to an ABLE savings account may be made only in cash. The State Treasurer or program manager shall reject or withdraw contributions promptly:</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(1)</w:t>
      </w:r>
      <w:r w:rsidRPr="00401FAC">
        <w:rPr>
          <w:rFonts w:cs="Times New Roman"/>
          <w:u w:color="000000" w:themeColor="text1"/>
        </w:rPr>
        <w:tab/>
        <w:t>in excess of the limits established pursuant to subsection (B); or</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(2)</w:t>
      </w:r>
      <w:r w:rsidRPr="00401FAC">
        <w:rPr>
          <w:rFonts w:cs="Times New Roman"/>
          <w:u w:color="000000" w:themeColor="text1"/>
        </w:rPr>
        <w:tab/>
        <w:t>the total contributions if the:</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r>
      <w:r w:rsidRPr="00401FAC">
        <w:rPr>
          <w:rFonts w:cs="Times New Roman"/>
          <w:u w:color="000000" w:themeColor="text1"/>
        </w:rPr>
        <w:tab/>
        <w:t>(a)</w:t>
      </w:r>
      <w:r w:rsidRPr="00401FAC">
        <w:rPr>
          <w:rFonts w:cs="Times New Roman"/>
          <w:u w:color="000000" w:themeColor="text1"/>
        </w:rPr>
        <w:tab/>
        <w:t>value of the account is equal to or greater than the account maximum established by the State Treasurer.  The account maximum must be equal to the account maximum for post</w:t>
      </w:r>
      <w:r>
        <w:rPr>
          <w:rFonts w:cs="Times New Roman"/>
          <w:u w:color="000000" w:themeColor="text1"/>
        </w:rPr>
        <w:noBreakHyphen/>
      </w:r>
      <w:r w:rsidRPr="00401FAC">
        <w:rPr>
          <w:rFonts w:cs="Times New Roman"/>
          <w:u w:color="000000" w:themeColor="text1"/>
        </w:rPr>
        <w:t>secondary education savings accounts; or</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r>
      <w:r w:rsidRPr="00401FAC">
        <w:rPr>
          <w:rFonts w:cs="Times New Roman"/>
          <w:u w:color="000000" w:themeColor="text1"/>
        </w:rPr>
        <w:tab/>
        <w:t>(b)</w:t>
      </w:r>
      <w:r w:rsidRPr="00401FAC">
        <w:rPr>
          <w:rFonts w:cs="Times New Roman"/>
          <w:u w:color="000000" w:themeColor="text1"/>
        </w:rPr>
        <w:tab/>
        <w:t>designated beneficiary is not an eligible individual in the current calendar year.</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(D)(1)</w:t>
      </w:r>
      <w:r w:rsidRPr="00401FAC">
        <w:rPr>
          <w:rFonts w:cs="Times New Roman"/>
          <w:u w:color="000000" w:themeColor="text1"/>
        </w:rPr>
        <w:tab/>
        <w:t>An account owner may:</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r>
      <w:r w:rsidRPr="00401FAC">
        <w:rPr>
          <w:rFonts w:cs="Times New Roman"/>
          <w:u w:color="000000" w:themeColor="text1"/>
        </w:rPr>
        <w:tab/>
        <w:t>(a)</w:t>
      </w:r>
      <w:r w:rsidRPr="00401FAC">
        <w:rPr>
          <w:rFonts w:cs="Times New Roman"/>
          <w:u w:color="000000" w:themeColor="text1"/>
        </w:rPr>
        <w:tab/>
        <w:t>change the designated beneficiary of an account to an individual who is a qualified member of the family of the prior designated beneficiary in accordance with procedures established by the State Treasurer; and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r>
      <w:r w:rsidRPr="00401FAC">
        <w:rPr>
          <w:rFonts w:cs="Times New Roman"/>
          <w:u w:color="000000" w:themeColor="text1"/>
        </w:rPr>
        <w:tab/>
        <w:t>(b)</w:t>
      </w:r>
      <w:r w:rsidRPr="00401FAC">
        <w:rPr>
          <w:rFonts w:cs="Times New Roman"/>
          <w:u w:color="000000" w:themeColor="text1"/>
        </w:rPr>
        <w:tab/>
        <w:t>transfer all or a portion of an account to another ABLE savings account, the designated beneficiary of which is a member of the family as defined in Section 529A of the federal Internal Revenue Code of 1986, as amended.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(2)</w:t>
      </w:r>
      <w:r w:rsidRPr="00401FAC">
        <w:rPr>
          <w:rFonts w:cs="Times New Roman"/>
          <w:u w:color="000000" w:themeColor="text1"/>
        </w:rPr>
        <w:tab/>
        <w:t>An account owner may not use an interest in an account as security for a loan. A pledge of an interest in an account is of no effect.</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(E)(1)</w:t>
      </w:r>
      <w:r w:rsidRPr="00401FAC">
        <w:rPr>
          <w:rFonts w:cs="Times New Roman"/>
          <w:u w:color="000000" w:themeColor="text1"/>
        </w:rPr>
        <w:tab/>
        <w:t>If there is any distribution from an account to an individual or for the benefit of an individual during a calendar year, the distribution must be reported to the federal Internal Revenue Service and each account owner, the designated beneficiary, or the distributee to the extent required by state or federal law.</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(2)</w:t>
      </w:r>
      <w:r w:rsidRPr="00401FAC">
        <w:rPr>
          <w:rFonts w:cs="Times New Roman"/>
          <w:u w:color="000000" w:themeColor="text1"/>
        </w:rPr>
        <w:tab/>
        <w:t xml:space="preserve">A statement must be provided to each account owner annually and at other increments established by the State Treasurer in the program guidelines. The statement must contain the information the State Treasurer requires to be reported to the account owner. </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(3)</w:t>
      </w:r>
      <w:r w:rsidRPr="00401FAC">
        <w:rPr>
          <w:rFonts w:cs="Times New Roman"/>
          <w:u w:color="000000" w:themeColor="text1"/>
        </w:rPr>
        <w:tab/>
        <w:t>A statement and information relating to an account must be prepared and filed to the extent required by this article and other state or federal law.</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(F)(1)</w:t>
      </w:r>
      <w:r w:rsidRPr="00401FAC">
        <w:rPr>
          <w:rFonts w:cs="Times New Roman"/>
          <w:u w:color="000000" w:themeColor="text1"/>
        </w:rPr>
        <w:tab/>
        <w:t>The program shall provide separate accounting for each designated beneficiary. An annual fee may be imposed upon the account owner for the maintenance of an account.</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(2)</w:t>
      </w:r>
      <w:r w:rsidRPr="00401FAC">
        <w:rPr>
          <w:rFonts w:cs="Times New Roman"/>
          <w:u w:color="000000" w:themeColor="text1"/>
        </w:rPr>
        <w:tab/>
        <w:t>Funds held in an ABLE savings account:</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r>
      <w:r w:rsidRPr="00401FAC">
        <w:rPr>
          <w:rFonts w:cs="Times New Roman"/>
          <w:u w:color="000000" w:themeColor="text1"/>
        </w:rPr>
        <w:tab/>
        <w:t>(a)</w:t>
      </w:r>
      <w:r w:rsidRPr="00401FAC">
        <w:rPr>
          <w:rFonts w:cs="Times New Roman"/>
          <w:u w:color="000000" w:themeColor="text1"/>
        </w:rPr>
        <w:tab/>
        <w:t>are exempt from attachment, execution, or garnishment for claims of creditors of the contributor and the designated beneficiary;</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r>
      <w:r w:rsidRPr="00401FAC">
        <w:rPr>
          <w:rFonts w:cs="Times New Roman"/>
          <w:u w:color="000000" w:themeColor="text1"/>
        </w:rPr>
        <w:tab/>
        <w:t>(b)</w:t>
      </w:r>
      <w:r w:rsidRPr="00401FAC">
        <w:rPr>
          <w:rFonts w:cs="Times New Roman"/>
          <w:u w:color="000000" w:themeColor="text1"/>
        </w:rPr>
        <w:tab/>
        <w:t>to the fullest extent permissible under state and federal law, will be disregarded for the purposes of determining a designated beneficiary</w:t>
      </w:r>
      <w:r w:rsidRPr="000136AF">
        <w:rPr>
          <w:rFonts w:cs="Times New Roman"/>
          <w:u w:color="000000" w:themeColor="text1"/>
        </w:rPr>
        <w:t>’</w:t>
      </w:r>
      <w:r w:rsidRPr="00401FAC">
        <w:rPr>
          <w:rFonts w:cs="Times New Roman"/>
          <w:u w:color="000000" w:themeColor="text1"/>
        </w:rPr>
        <w:t>s eligibility to receive, or the amount of, any public assistance available to the designated beneficiary, including Medicaid; and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r>
      <w:r w:rsidRPr="00401FAC">
        <w:rPr>
          <w:rFonts w:cs="Times New Roman"/>
          <w:u w:color="000000" w:themeColor="text1"/>
        </w:rPr>
        <w:tab/>
        <w:t>(c)</w:t>
      </w:r>
      <w:r w:rsidRPr="00401FAC">
        <w:rPr>
          <w:rFonts w:cs="Times New Roman"/>
          <w:u w:color="000000" w:themeColor="text1"/>
        </w:rPr>
        <w:tab/>
        <w:t xml:space="preserve">following the death of a designated beneficiary, may be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law.  Recovery by the State is subject to regulations imposed by the </w:t>
      </w:r>
      <w:r>
        <w:rPr>
          <w:rFonts w:cs="Times New Roman"/>
          <w:u w:color="000000" w:themeColor="text1"/>
        </w:rPr>
        <w:t>Secretary</w:t>
      </w:r>
      <w:r w:rsidRPr="00401FAC">
        <w:rPr>
          <w:rFonts w:cs="Times New Roman"/>
          <w:u w:color="000000" w:themeColor="text1"/>
        </w:rPr>
        <w:t>.</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(3)</w:t>
      </w:r>
      <w:r w:rsidRPr="00401FAC">
        <w:rPr>
          <w:rFonts w:cs="Times New Roman"/>
          <w:u w:color="000000" w:themeColor="text1"/>
        </w:rPr>
        <w:tab/>
        <w:t>The amount distributed from an ABLE savings account for the purposes of paying qualified disability expenses:</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r>
      <w:r w:rsidRPr="00401FAC">
        <w:rPr>
          <w:rFonts w:cs="Times New Roman"/>
          <w:u w:color="000000" w:themeColor="text1"/>
        </w:rPr>
        <w:tab/>
        <w:t>(a)</w:t>
      </w:r>
      <w:r w:rsidRPr="00401FAC">
        <w:rPr>
          <w:rFonts w:cs="Times New Roman"/>
          <w:u w:color="000000" w:themeColor="text1"/>
        </w:rPr>
        <w:tab/>
        <w:t>are exempt from attachment, execution, or garnishment for claims of creditors of the contributor and the designated beneficiary; and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r>
      <w:r w:rsidRPr="00401FAC">
        <w:rPr>
          <w:rFonts w:cs="Times New Roman"/>
          <w:u w:color="000000" w:themeColor="text1"/>
        </w:rPr>
        <w:tab/>
        <w:t>(b)</w:t>
      </w:r>
      <w:r w:rsidRPr="00401FAC">
        <w:rPr>
          <w:rFonts w:cs="Times New Roman"/>
          <w:u w:color="000000" w:themeColor="text1"/>
        </w:rPr>
        <w:tab/>
        <w:t>to the fullest extent permissible under state and federal law, will be disregarded for the purposes of determining a designated beneficiary</w:t>
      </w:r>
      <w:r w:rsidRPr="000136AF">
        <w:rPr>
          <w:rFonts w:cs="Times New Roman"/>
          <w:u w:color="000000" w:themeColor="text1"/>
        </w:rPr>
        <w:t>’</w:t>
      </w:r>
      <w:r w:rsidRPr="00401FAC">
        <w:rPr>
          <w:rFonts w:cs="Times New Roman"/>
          <w:u w:color="000000" w:themeColor="text1"/>
        </w:rPr>
        <w:t>s eligibility to receive, or the amount of, any public assistance available to the designated beneficiary, including Medicaid.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(G)</w:t>
      </w:r>
      <w:r w:rsidRPr="00401FAC">
        <w:rPr>
          <w:rFonts w:cs="Times New Roman"/>
          <w:u w:color="000000" w:themeColor="text1"/>
        </w:rPr>
        <w:tab/>
        <w:t>To the extent earnings in an ABLE savings account and distributions from an ABLE savings account, or a qualified account under Section 529A located in another state, are not subject to federal income tax, they will not be subject to state income tax.</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Section 11</w:t>
      </w:r>
      <w:r>
        <w:rPr>
          <w:rFonts w:cs="Times New Roman"/>
          <w:u w:color="000000" w:themeColor="text1"/>
        </w:rPr>
        <w:noBreakHyphen/>
      </w:r>
      <w:r w:rsidRPr="00401FAC">
        <w:rPr>
          <w:rFonts w:cs="Times New Roman"/>
          <w:u w:color="000000" w:themeColor="text1"/>
        </w:rPr>
        <w:t>5</w:t>
      </w:r>
      <w:r>
        <w:rPr>
          <w:rFonts w:cs="Times New Roman"/>
          <w:u w:color="000000" w:themeColor="text1"/>
        </w:rPr>
        <w:noBreakHyphen/>
      </w:r>
      <w:r w:rsidRPr="00401FAC">
        <w:rPr>
          <w:rFonts w:cs="Times New Roman"/>
          <w:u w:color="000000" w:themeColor="text1"/>
        </w:rPr>
        <w:t>450.</w:t>
      </w:r>
      <w:r w:rsidRPr="00401FAC">
        <w:rPr>
          <w:rFonts w:cs="Times New Roman"/>
          <w:u w:color="000000" w:themeColor="text1"/>
        </w:rPr>
        <w:tab/>
        <w:t>(A)</w:t>
      </w:r>
      <w:r w:rsidRPr="00401FAC">
        <w:rPr>
          <w:rFonts w:cs="Times New Roman"/>
          <w:u w:color="000000" w:themeColor="text1"/>
        </w:rPr>
        <w:tab/>
        <w:t>Nothing in this article may create or be construed to create any obligation of the State Treasurer, the State, or any agency or instrumentality of the State to guarantee for the benefit of an account owner or designated beneficiary with respect to the:</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(1)</w:t>
      </w:r>
      <w:r w:rsidRPr="00401FAC">
        <w:rPr>
          <w:rFonts w:cs="Times New Roman"/>
          <w:u w:color="000000" w:themeColor="text1"/>
        </w:rPr>
        <w:tab/>
        <w:t>return of principal;</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(2)</w:t>
      </w:r>
      <w:r w:rsidRPr="00401FAC">
        <w:rPr>
          <w:rFonts w:cs="Times New Roman"/>
          <w:u w:color="000000" w:themeColor="text1"/>
        </w:rPr>
        <w:tab/>
        <w:t>rate of interest or other return on an account; or</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(3)</w:t>
      </w:r>
      <w:r w:rsidRPr="00401FAC">
        <w:rPr>
          <w:rFonts w:cs="Times New Roman"/>
          <w:u w:color="000000" w:themeColor="text1"/>
        </w:rPr>
        <w:tab/>
        <w:t>payment of interest or other return on an account.</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(B)</w:t>
      </w:r>
      <w:r w:rsidRPr="00401FAC">
        <w:rPr>
          <w:rFonts w:cs="Times New Roman"/>
          <w:u w:color="000000" w:themeColor="text1"/>
        </w:rPr>
        <w:tab/>
        <w:t>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Section 11</w:t>
      </w:r>
      <w:r>
        <w:rPr>
          <w:rFonts w:cs="Times New Roman"/>
          <w:u w:color="000000" w:themeColor="text1"/>
        </w:rPr>
        <w:noBreakHyphen/>
      </w:r>
      <w:r w:rsidRPr="00401FAC">
        <w:rPr>
          <w:rFonts w:cs="Times New Roman"/>
          <w:u w:color="000000" w:themeColor="text1"/>
        </w:rPr>
        <w:t>5</w:t>
      </w:r>
      <w:r>
        <w:rPr>
          <w:rFonts w:cs="Times New Roman"/>
          <w:u w:color="000000" w:themeColor="text1"/>
        </w:rPr>
        <w:noBreakHyphen/>
      </w:r>
      <w:r w:rsidRPr="00401FAC">
        <w:rPr>
          <w:rFonts w:cs="Times New Roman"/>
          <w:u w:color="000000" w:themeColor="text1"/>
        </w:rPr>
        <w:t>460.</w:t>
      </w:r>
      <w:r w:rsidRPr="00401FAC">
        <w:rPr>
          <w:rFonts w:cs="Times New Roman"/>
          <w:u w:color="000000" w:themeColor="text1"/>
        </w:rPr>
        <w:tab/>
        <w:t>(A)</w:t>
      </w:r>
      <w:r w:rsidRPr="00401FAC">
        <w:rPr>
          <w:rFonts w:cs="Times New Roman"/>
          <w:u w:color="000000" w:themeColor="text1"/>
        </w:rPr>
        <w:tab/>
        <w:t>The South Carolina ABLE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(B)(1)</w:t>
      </w:r>
      <w:r w:rsidRPr="00401FAC">
        <w:rPr>
          <w:rFonts w:cs="Times New Roman"/>
          <w:u w:color="000000" w:themeColor="text1"/>
        </w:rPr>
        <w:tab/>
        <w:t>The South Carolina ABLE Savings Expense Fund is established in the Office of the State Treasurer.  The expense fund must consist of monies received from the ABLE Savings Program manager or managers, governmental or private grants, and state general fund appropriations, if any, for the program.</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(2)</w:t>
      </w:r>
      <w:r w:rsidRPr="00401FAC">
        <w:rPr>
          <w:rFonts w:cs="Times New Roman"/>
          <w:u w:color="000000" w:themeColor="text1"/>
        </w:rPr>
        <w:tab/>
        <w:t>All expenses incurred by the State Treasurer in developing and administering the ABLE Savings Program must be payable from the South Carolina ABLE Savings Expense Fund.”</w:t>
      </w:r>
    </w:p>
    <w:p w:rsidR="001F4E93"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F4E93"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Individual income tax deductions</w:t>
      </w:r>
    </w:p>
    <w:p w:rsidR="001F4E93" w:rsidRPr="008E12FA"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SECTION</w:t>
      </w:r>
      <w:r w:rsidRPr="00401FAC">
        <w:rPr>
          <w:rFonts w:cs="Times New Roman"/>
          <w:u w:color="000000" w:themeColor="text1"/>
        </w:rPr>
        <w:tab/>
        <w:t>2.</w:t>
      </w:r>
      <w:r w:rsidRPr="00401FAC">
        <w:rPr>
          <w:rFonts w:cs="Times New Roman"/>
          <w:u w:color="000000" w:themeColor="text1"/>
        </w:rPr>
        <w:tab/>
        <w:t>Section 12</w:t>
      </w:r>
      <w:r>
        <w:rPr>
          <w:rFonts w:cs="Times New Roman"/>
          <w:u w:color="000000" w:themeColor="text1"/>
        </w:rPr>
        <w:noBreakHyphen/>
      </w:r>
      <w:r w:rsidRPr="00401FAC">
        <w:rPr>
          <w:rFonts w:cs="Times New Roman"/>
          <w:u w:color="000000" w:themeColor="text1"/>
        </w:rPr>
        <w:t>6</w:t>
      </w:r>
      <w:r>
        <w:rPr>
          <w:rFonts w:cs="Times New Roman"/>
          <w:u w:color="000000" w:themeColor="text1"/>
        </w:rPr>
        <w:noBreakHyphen/>
      </w:r>
      <w:r w:rsidRPr="00401FAC">
        <w:rPr>
          <w:rFonts w:cs="Times New Roman"/>
          <w:u w:color="000000" w:themeColor="text1"/>
        </w:rPr>
        <w:t>1140 of the 1976 Code</w:t>
      </w:r>
      <w:r>
        <w:rPr>
          <w:rFonts w:cs="Times New Roman"/>
          <w:u w:color="000000" w:themeColor="text1"/>
        </w:rPr>
        <w:t>, as last amended by Act 134 of 2014,</w:t>
      </w:r>
      <w:r w:rsidRPr="00401FAC">
        <w:rPr>
          <w:rFonts w:cs="Times New Roman"/>
          <w:u w:color="000000" w:themeColor="text1"/>
        </w:rPr>
        <w:t xml:space="preserve"> is</w:t>
      </w:r>
      <w:r>
        <w:rPr>
          <w:rFonts w:cs="Times New Roman"/>
          <w:u w:color="000000" w:themeColor="text1"/>
        </w:rPr>
        <w:t xml:space="preserve"> further</w:t>
      </w:r>
      <w:r w:rsidRPr="00401FAC">
        <w:rPr>
          <w:rFonts w:cs="Times New Roman"/>
          <w:u w:color="000000" w:themeColor="text1"/>
        </w:rPr>
        <w:t xml:space="preserve"> amended by adding an appropriately numbered item at the end to read:</w:t>
      </w:r>
    </w:p>
    <w:p w:rsidR="001F4E93"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t>“( )(a)</w:t>
      </w:r>
      <w:r w:rsidRPr="00401FAC">
        <w:rPr>
          <w:rFonts w:cs="Times New Roman"/>
          <w:u w:color="000000" w:themeColor="text1"/>
        </w:rPr>
        <w:tab/>
        <w:t>Contributions made to each investment trust account created pursuant to Article 3, Chapter 5, Title 11, or a qualified account under Section 529A located in another state, by a resident of this State or a nonresident required to file a State of South Carolina income tax return up to the limit of maximum contributions allowed to such accounts under Section 529A of the federal Internal Revenue Code of 1986, as amended, including funds transferred to an investment trust account from another qualified plan, as allowable under Section 529</w:t>
      </w:r>
      <w:r>
        <w:rPr>
          <w:rFonts w:cs="Times New Roman"/>
          <w:u w:color="000000" w:themeColor="text1"/>
        </w:rPr>
        <w:t>A</w:t>
      </w:r>
      <w:r w:rsidRPr="00401FAC">
        <w:rPr>
          <w:rFonts w:cs="Times New Roman"/>
          <w:u w:color="000000" w:themeColor="text1"/>
        </w:rPr>
        <w:t xml:space="preserve"> of the federal Internal Revenue Code of 1986, as amended. </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(b)</w:t>
      </w:r>
      <w:r w:rsidRPr="00401FAC">
        <w:rPr>
          <w:rFonts w:cs="Times New Roman"/>
          <w:u w:color="000000" w:themeColor="text1"/>
        </w:rPr>
        <w:tab/>
        <w:t xml:space="preserve">Any interest, dividends, gains, property, or income accruing on the payments made to an investment trust agreement pursuant to Article 3, Chapter 5, Title 11, or on any account in the South Carolina ABLE Savings Expense Fund or a qualified fund under Section 529A located in another state, must be excluded from the gross income of any such account owner, contributor, or beneficiary for purposes of South Carolina income taxes, to the extent the amounts remain on deposit in the South Carolina ABLE Savings Expense Fund or are withdrawn pursuant to a qualified withdrawal. </w:t>
      </w: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ab/>
      </w:r>
      <w:r w:rsidRPr="00401FAC">
        <w:rPr>
          <w:rFonts w:cs="Times New Roman"/>
          <w:u w:color="000000" w:themeColor="text1"/>
        </w:rPr>
        <w:tab/>
        <w:t>(c)</w:t>
      </w:r>
      <w:r w:rsidRPr="00401FAC">
        <w:rPr>
          <w:rFonts w:cs="Times New Roman"/>
          <w:u w:color="000000" w:themeColor="text1"/>
        </w:rPr>
        <w:tab/>
        <w:t>The earnings portion of any withdrawals from an account that are not qualified withdrawals must be included in the gross income of the resident recipient of the withdrawal for purposes of South Carolina income taxes in the year of the withdrawal. Withdrawals of the principal amount of contributions that are not qualified withdrawals must be recaptured into South Carolina income subject to tax to the extent the contributions were previously deducted from South Carolina taxable income.”</w:t>
      </w:r>
    </w:p>
    <w:p w:rsidR="001F4E93"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F4E93"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Code sections designated</w:t>
      </w:r>
    </w:p>
    <w:p w:rsidR="001F4E93" w:rsidRPr="008E12FA"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01FAC">
        <w:rPr>
          <w:rFonts w:cs="Times New Roman"/>
          <w:u w:color="000000" w:themeColor="text1"/>
        </w:rPr>
        <w:t>SECTION</w:t>
      </w:r>
      <w:r w:rsidRPr="00401FAC">
        <w:rPr>
          <w:rFonts w:cs="Times New Roman"/>
          <w:u w:color="000000" w:themeColor="text1"/>
        </w:rPr>
        <w:tab/>
        <w:t>3.</w:t>
      </w:r>
      <w:r w:rsidRPr="00401FAC">
        <w:rPr>
          <w:rFonts w:cs="Times New Roman"/>
          <w:u w:color="000000" w:themeColor="text1"/>
        </w:rPr>
        <w:tab/>
        <w:t>Sections 11</w:t>
      </w:r>
      <w:r>
        <w:rPr>
          <w:rFonts w:cs="Times New Roman"/>
          <w:u w:color="000000" w:themeColor="text1"/>
        </w:rPr>
        <w:noBreakHyphen/>
      </w:r>
      <w:r w:rsidRPr="00401FAC">
        <w:rPr>
          <w:rFonts w:cs="Times New Roman"/>
          <w:u w:color="000000" w:themeColor="text1"/>
        </w:rPr>
        <w:t>5</w:t>
      </w:r>
      <w:r>
        <w:rPr>
          <w:rFonts w:cs="Times New Roman"/>
          <w:u w:color="000000" w:themeColor="text1"/>
        </w:rPr>
        <w:noBreakHyphen/>
      </w:r>
      <w:r w:rsidRPr="00401FAC">
        <w:rPr>
          <w:rFonts w:cs="Times New Roman"/>
          <w:u w:color="000000" w:themeColor="text1"/>
        </w:rPr>
        <w:t>10 through 11</w:t>
      </w:r>
      <w:r>
        <w:rPr>
          <w:rFonts w:cs="Times New Roman"/>
          <w:u w:color="000000" w:themeColor="text1"/>
        </w:rPr>
        <w:noBreakHyphen/>
      </w:r>
      <w:r w:rsidRPr="00401FAC">
        <w:rPr>
          <w:rFonts w:cs="Times New Roman"/>
          <w:u w:color="000000" w:themeColor="text1"/>
        </w:rPr>
        <w:t>5</w:t>
      </w:r>
      <w:r>
        <w:rPr>
          <w:rFonts w:cs="Times New Roman"/>
          <w:u w:color="000000" w:themeColor="text1"/>
        </w:rPr>
        <w:noBreakHyphen/>
      </w:r>
      <w:r w:rsidRPr="00401FAC">
        <w:rPr>
          <w:rFonts w:cs="Times New Roman"/>
          <w:u w:color="000000" w:themeColor="text1"/>
        </w:rPr>
        <w:t>280 of the 1976 Code are designated as Article 1, Chapter 5, Title 11 entitled “General Provisions”.  The Code Commissioner is directed to change references from “chapter” to “article” as appropriate to reflect the redesignated provisions.</w:t>
      </w:r>
    </w:p>
    <w:p w:rsidR="001F4E93"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F4E93"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Time effective</w:t>
      </w:r>
    </w:p>
    <w:p w:rsidR="001F4E93" w:rsidRPr="008E12FA"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F4E93" w:rsidRPr="00401FAC"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01FAC">
        <w:rPr>
          <w:rFonts w:cs="Times New Roman"/>
          <w:u w:color="000000" w:themeColor="text1"/>
        </w:rPr>
        <w:t>SECTION</w:t>
      </w:r>
      <w:r w:rsidRPr="00401FAC">
        <w:rPr>
          <w:rFonts w:cs="Times New Roman"/>
          <w:u w:color="000000" w:themeColor="text1"/>
        </w:rPr>
        <w:tab/>
        <w:t>4.</w:t>
      </w:r>
      <w:r w:rsidRPr="00401FAC">
        <w:rPr>
          <w:rFonts w:cs="Times New Roman"/>
          <w:u w:color="000000" w:themeColor="text1"/>
        </w:rPr>
        <w:tab/>
        <w:t>This act takes effect upon approval by the Governor and applies for tax years beginning after 2015.</w:t>
      </w:r>
    </w:p>
    <w:p w:rsidR="001F4E93"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F4E93" w:rsidRDefault="001F4E93"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April, 2016.</w:t>
      </w:r>
    </w:p>
    <w:p w:rsidR="001F4E93" w:rsidRDefault="001F4E93" w:rsidP="001F4E93">
      <w:pPr>
        <w:jc w:val="both"/>
        <w:rPr>
          <w:color w:val="000000" w:themeColor="text1"/>
        </w:rPr>
      </w:pPr>
    </w:p>
    <w:p w:rsidR="001F4E93" w:rsidRDefault="001F4E93" w:rsidP="001F4E93">
      <w:pPr>
        <w:jc w:val="both"/>
        <w:rPr>
          <w:color w:val="000000" w:themeColor="text1"/>
        </w:rPr>
      </w:pPr>
      <w:r>
        <w:rPr>
          <w:color w:val="000000" w:themeColor="text1"/>
        </w:rPr>
        <w:t>Approved the 29</w:t>
      </w:r>
      <w:r w:rsidRPr="00CC632B">
        <w:rPr>
          <w:color w:val="000000" w:themeColor="text1"/>
          <w:vertAlign w:val="superscript"/>
        </w:rPr>
        <w:t>th</w:t>
      </w:r>
      <w:r>
        <w:rPr>
          <w:color w:val="000000" w:themeColor="text1"/>
        </w:rPr>
        <w:t xml:space="preserve"> day of April, 2016. </w:t>
      </w:r>
    </w:p>
    <w:p w:rsidR="001F4E93" w:rsidRDefault="001F4E93" w:rsidP="001F4E93">
      <w:pPr>
        <w:jc w:val="center"/>
        <w:rPr>
          <w:color w:val="000000" w:themeColor="text1"/>
        </w:rPr>
      </w:pPr>
    </w:p>
    <w:p w:rsidR="001F4E93" w:rsidRDefault="001F4E93" w:rsidP="001F4E93">
      <w:pPr>
        <w:jc w:val="center"/>
        <w:rPr>
          <w:color w:val="000000" w:themeColor="text1"/>
        </w:rPr>
      </w:pPr>
      <w:r>
        <w:rPr>
          <w:color w:val="000000" w:themeColor="text1"/>
        </w:rPr>
        <w:t>__________</w:t>
      </w:r>
    </w:p>
    <w:p w:rsidR="0017585E" w:rsidRPr="006C79EA" w:rsidRDefault="0017585E" w:rsidP="001F4E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7585E" w:rsidRPr="006C79EA" w:rsidSect="0017585E">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12FA" w:rsidRDefault="008E12FA" w:rsidP="007D5FAC">
      <w:r>
        <w:separator/>
      </w:r>
    </w:p>
  </w:endnote>
  <w:endnote w:type="continuationSeparator" w:id="0">
    <w:p w:rsidR="008E12FA" w:rsidRDefault="008E12F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5E" w:rsidRPr="0017585E" w:rsidRDefault="0017585E" w:rsidP="0017585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E5B14">
      <w:rPr>
        <w:noProof/>
      </w:rPr>
      <w:t>10</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85E" w:rsidRDefault="001758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12FA" w:rsidRDefault="008E12FA" w:rsidP="007D5FAC">
      <w:r>
        <w:separator/>
      </w:r>
    </w:p>
  </w:footnote>
  <w:footnote w:type="continuationSeparator" w:id="0">
    <w:p w:rsidR="008E12FA" w:rsidRDefault="008E12F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768"/>
    <w:docVar w:name="ActSecretary" w:val="Pair"/>
    <w:docVar w:name="ActSIdno" w:val="(112)  3768SA16"/>
    <w:docVar w:name="clipname" w:val="3768SA16"/>
    <w:docVar w:name="dvBillNumber" w:val="3768"/>
    <w:docVar w:name="dvBillNumberPrefix" w:val="H"/>
    <w:docVar w:name="dvOriginalBody" w:val="House"/>
    <w:docVar w:name="HOUSEACTFULLPATH" w:val="L:\COUNCIL\ACTS\3768SA16.DOCX"/>
    <w:docVar w:name="OrigHOUSEBillNo" w:val="3768"/>
    <w:docVar w:name="WhatActtype" w:val="AN ACT"/>
  </w:docVars>
  <w:rsids>
    <w:rsidRoot w:val="009963DA"/>
    <w:rsid w:val="00002DE0"/>
    <w:rsid w:val="000136AF"/>
    <w:rsid w:val="00020349"/>
    <w:rsid w:val="00020977"/>
    <w:rsid w:val="00021B0B"/>
    <w:rsid w:val="00034A69"/>
    <w:rsid w:val="00040C05"/>
    <w:rsid w:val="0004579B"/>
    <w:rsid w:val="00051B4F"/>
    <w:rsid w:val="00060E60"/>
    <w:rsid w:val="000673E4"/>
    <w:rsid w:val="0007088D"/>
    <w:rsid w:val="000731E9"/>
    <w:rsid w:val="00074565"/>
    <w:rsid w:val="00076A1A"/>
    <w:rsid w:val="00077DA3"/>
    <w:rsid w:val="00081300"/>
    <w:rsid w:val="00085551"/>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7585E"/>
    <w:rsid w:val="0018353C"/>
    <w:rsid w:val="00195F4E"/>
    <w:rsid w:val="001A646B"/>
    <w:rsid w:val="001A75A0"/>
    <w:rsid w:val="001B201B"/>
    <w:rsid w:val="001B65B6"/>
    <w:rsid w:val="001B78F9"/>
    <w:rsid w:val="001B7FF5"/>
    <w:rsid w:val="001C10BE"/>
    <w:rsid w:val="001C390F"/>
    <w:rsid w:val="001C603D"/>
    <w:rsid w:val="001C6957"/>
    <w:rsid w:val="001D0755"/>
    <w:rsid w:val="001D279C"/>
    <w:rsid w:val="001D3B74"/>
    <w:rsid w:val="001D6463"/>
    <w:rsid w:val="001D7715"/>
    <w:rsid w:val="001E47D6"/>
    <w:rsid w:val="001F1CCC"/>
    <w:rsid w:val="001F36BF"/>
    <w:rsid w:val="001F4E93"/>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5065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1ABA"/>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6D85"/>
    <w:rsid w:val="005C45D1"/>
    <w:rsid w:val="005C4B9E"/>
    <w:rsid w:val="005C5915"/>
    <w:rsid w:val="005D50CE"/>
    <w:rsid w:val="005D5723"/>
    <w:rsid w:val="005D6054"/>
    <w:rsid w:val="005E07AD"/>
    <w:rsid w:val="005E143E"/>
    <w:rsid w:val="005E36AC"/>
    <w:rsid w:val="005E5B14"/>
    <w:rsid w:val="005F79FF"/>
    <w:rsid w:val="00602ACC"/>
    <w:rsid w:val="006055BC"/>
    <w:rsid w:val="00605B6E"/>
    <w:rsid w:val="00605C15"/>
    <w:rsid w:val="0060700F"/>
    <w:rsid w:val="00612BB0"/>
    <w:rsid w:val="00616994"/>
    <w:rsid w:val="006236C9"/>
    <w:rsid w:val="00623F43"/>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9EA"/>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12FB"/>
    <w:rsid w:val="00744F9D"/>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834"/>
    <w:rsid w:val="007B59FD"/>
    <w:rsid w:val="007C3D08"/>
    <w:rsid w:val="007C3EC8"/>
    <w:rsid w:val="007C7B7F"/>
    <w:rsid w:val="007D5FAC"/>
    <w:rsid w:val="007E19E6"/>
    <w:rsid w:val="007E3A81"/>
    <w:rsid w:val="007E6863"/>
    <w:rsid w:val="007F6631"/>
    <w:rsid w:val="007F6D46"/>
    <w:rsid w:val="007F7184"/>
    <w:rsid w:val="00800AD0"/>
    <w:rsid w:val="00803E5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12F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963DA"/>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2058"/>
    <w:rsid w:val="00BC5FF9"/>
    <w:rsid w:val="00BC6307"/>
    <w:rsid w:val="00BE36EB"/>
    <w:rsid w:val="00BE41F8"/>
    <w:rsid w:val="00BF1B60"/>
    <w:rsid w:val="00BF2034"/>
    <w:rsid w:val="00BF24E6"/>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5754"/>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110E"/>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1A5F"/>
    <w:rsid w:val="00F721C4"/>
    <w:rsid w:val="00F7296A"/>
    <w:rsid w:val="00F80C6A"/>
    <w:rsid w:val="00F84D45"/>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8A85B71-1A43-4FEB-B710-9159D717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7585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84D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4D45"/>
    <w:rPr>
      <w:rFonts w:ascii="Segoe UI" w:hAnsi="Segoe UI" w:cs="Segoe UI"/>
      <w:sz w:val="18"/>
      <w:szCs w:val="18"/>
    </w:rPr>
  </w:style>
  <w:style w:type="table" w:styleId="TableGrid">
    <w:name w:val="Table Grid"/>
    <w:basedOn w:val="TableNormal"/>
    <w:uiPriority w:val="59"/>
    <w:rsid w:val="007412F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7585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B6D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03-15.docx" TargetMode="External"/><Relationship Id="rId13" Type="http://schemas.openxmlformats.org/officeDocument/2006/relationships/hyperlink" Target="file:///h:\HJ%20Archive\2015\04-30-15.docx" TargetMode="External"/><Relationship Id="rId18" Type="http://schemas.openxmlformats.org/officeDocument/2006/relationships/hyperlink" Target="file:///h:\SJ%20Archive\2016\04-13-16.docx" TargetMode="External"/><Relationship Id="rId26" Type="http://schemas.openxmlformats.org/officeDocument/2006/relationships/hyperlink" Target="file:///p:\pprever\2015-16\3768_20150423.docx" TargetMode="External"/><Relationship Id="rId3" Type="http://schemas.openxmlformats.org/officeDocument/2006/relationships/settings" Target="settings.xml"/><Relationship Id="rId21" Type="http://schemas.openxmlformats.org/officeDocument/2006/relationships/hyperlink" Target="file:///h:\HJ%20Archive\2016\04-21-16.docx" TargetMode="External"/><Relationship Id="rId34" Type="http://schemas.openxmlformats.org/officeDocument/2006/relationships/footer" Target="footer2.xml"/><Relationship Id="rId7" Type="http://schemas.openxmlformats.org/officeDocument/2006/relationships/hyperlink" Target="file:///h:\HJ%20Archive\2015\03-03-15.docx" TargetMode="External"/><Relationship Id="rId12" Type="http://schemas.openxmlformats.org/officeDocument/2006/relationships/hyperlink" Target="file:///h:\HJ%20Archive\2015\04-29-15.docx" TargetMode="External"/><Relationship Id="rId17" Type="http://schemas.openxmlformats.org/officeDocument/2006/relationships/hyperlink" Target="file:///h:\SJ%20Archive\2016\03-22-16.docx" TargetMode="External"/><Relationship Id="rId25" Type="http://schemas.openxmlformats.org/officeDocument/2006/relationships/hyperlink" Target="file:///p:\pprever\2015-16\3768_20150310.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3-16-16.docx" TargetMode="External"/><Relationship Id="rId20" Type="http://schemas.openxmlformats.org/officeDocument/2006/relationships/hyperlink" Target="file:///h:\SJ%20Archive\2016\04-14-16.docx" TargetMode="External"/><Relationship Id="rId29" Type="http://schemas.openxmlformats.org/officeDocument/2006/relationships/hyperlink" Target="file:///p:\pprever\2015-16\3768_201603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9-15.docx" TargetMode="External"/><Relationship Id="rId24" Type="http://schemas.openxmlformats.org/officeDocument/2006/relationships/hyperlink" Target="file:///p:\pprever\2015-16\3768_20150303.docx" TargetMode="External"/><Relationship Id="rId32" Type="http://schemas.openxmlformats.org/officeDocument/2006/relationships/hyperlink" Target="file:///p:\pprever\2015-16\3768_20160323.docx" TargetMode="External"/><Relationship Id="rId5" Type="http://schemas.openxmlformats.org/officeDocument/2006/relationships/footnotes" Target="footnotes.xml"/><Relationship Id="rId15" Type="http://schemas.openxmlformats.org/officeDocument/2006/relationships/hyperlink" Target="file:///h:\SJ%20Archive\2015\05-04-15.docx" TargetMode="External"/><Relationship Id="rId23" Type="http://schemas.openxmlformats.org/officeDocument/2006/relationships/hyperlink" Target="http://www.scstatehouse.gov/billsearch.php?billnumbers=3768&amp;session=121&amp;summary=B" TargetMode="External"/><Relationship Id="rId28" Type="http://schemas.openxmlformats.org/officeDocument/2006/relationships/hyperlink" Target="file:///p:\pprever\2015-16\3768_20150505.docx" TargetMode="External"/><Relationship Id="rId36" Type="http://schemas.openxmlformats.org/officeDocument/2006/relationships/theme" Target="theme/theme1.xml"/><Relationship Id="rId10" Type="http://schemas.openxmlformats.org/officeDocument/2006/relationships/hyperlink" Target="file:///h:\HJ%20Archive\2015\04-29-15.docx" TargetMode="External"/><Relationship Id="rId19" Type="http://schemas.openxmlformats.org/officeDocument/2006/relationships/hyperlink" Target="file:///h:\SJ%20Archive\2016\04-13-16.docx" TargetMode="External"/><Relationship Id="rId31" Type="http://schemas.openxmlformats.org/officeDocument/2006/relationships/hyperlink" Target="file:///p:\pprever\2015-16\3768_20160322.docx" TargetMode="External"/><Relationship Id="rId4" Type="http://schemas.openxmlformats.org/officeDocument/2006/relationships/webSettings" Target="webSettings.xml"/><Relationship Id="rId9" Type="http://schemas.openxmlformats.org/officeDocument/2006/relationships/hyperlink" Target="file:///h:\HJ%20Archive\2015\04-23-15.docx" TargetMode="External"/><Relationship Id="rId14" Type="http://schemas.openxmlformats.org/officeDocument/2006/relationships/hyperlink" Target="file:///h:\SJ%20Archive\2015\05-04-15.docx" TargetMode="External"/><Relationship Id="rId22" Type="http://schemas.openxmlformats.org/officeDocument/2006/relationships/hyperlink" Target="file:///h:\HJ%20Archive\2016\04-21-16.docx" TargetMode="External"/><Relationship Id="rId27" Type="http://schemas.openxmlformats.org/officeDocument/2006/relationships/hyperlink" Target="file:///p:\pprever\2015-16\3768_20150429.docx" TargetMode="External"/><Relationship Id="rId30" Type="http://schemas.openxmlformats.org/officeDocument/2006/relationships/hyperlink" Target="file:///p:\pprever\2015-16\3768_20160317.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560B33-1368-47D3-BF91-471EEADFA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3826</Words>
  <Characters>21810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25585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3768: SC Able Savings Program - South Carolina Legislature Online</dc:title>
  <dc:subject/>
  <dc:creator>sharonpair</dc:creator>
  <cp:keywords/>
  <dc:description/>
  <cp:lastModifiedBy>N Cumfer</cp:lastModifiedBy>
  <cp:revision>2</cp:revision>
  <cp:lastPrinted>2016-04-25T15:03:00Z</cp:lastPrinted>
  <dcterms:created xsi:type="dcterms:W3CDTF">2016-12-02T18:20:00Z</dcterms:created>
  <dcterms:modified xsi:type="dcterms:W3CDTF">2016-12-02T18:20:00Z</dcterms:modified>
</cp:coreProperties>
</file>