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B1222">
        <w:rPr>
          <w:rFonts w:cs="Times New Roman"/>
          <w:b/>
        </w:rPr>
        <w:t>South Carolina General Assembly</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B1222">
        <w:rPr>
          <w:rFonts w:cs="Times New Roman"/>
        </w:rPr>
        <w:t>121st Session, 2015-2016</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7012FB"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 R23, S391</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b/>
        </w:rPr>
        <w:t>STATUS INFORMATION</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rPr>
        <w:t>General Bill</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rPr>
        <w:t>Sponsors: Senators Young, Massey, Turner, Thurmond, Johnson, McElveen, Shealy, Hembree, Cromer, Setzler, Alexander, Davis and Scott</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rPr>
        <w:t>Document Path: l:\s-res\try\004inst.eb.try.docx</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rPr>
        <w:t>Companion/Similar bill(s): 3037</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2015</w:t>
      </w: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24, 2015</w:t>
      </w: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18, 2015</w:t>
      </w: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29, 2015</w:t>
      </w: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7, 2015, Signed</w:t>
      </w:r>
    </w:p>
    <w:p w:rsidR="00E76FE9" w:rsidRDefault="00E76FE9"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rPr>
        <w:t>Summary: In-state tuition rates for military personnel</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1B1222" w:rsidP="001B1222">
      <w:pPr>
        <w:widowControl w:val="0"/>
        <w:tabs>
          <w:tab w:val="center" w:pos="590"/>
          <w:tab w:val="center" w:pos="1440"/>
          <w:tab w:val="left" w:pos="1872"/>
          <w:tab w:val="left" w:pos="9187"/>
        </w:tabs>
        <w:rPr>
          <w:rFonts w:cs="Times New Roman"/>
        </w:rPr>
      </w:pPr>
      <w:r w:rsidRPr="001B1222">
        <w:rPr>
          <w:rFonts w:cs="Times New Roman"/>
          <w:b/>
        </w:rPr>
        <w:t>HISTORY OF LEGISLATIVE ACTIONS</w:t>
      </w:r>
    </w:p>
    <w:p w:rsidR="001B1222" w:rsidRPr="001B1222" w:rsidRDefault="001B1222" w:rsidP="001B1222">
      <w:pPr>
        <w:widowControl w:val="0"/>
        <w:tabs>
          <w:tab w:val="center" w:pos="590"/>
          <w:tab w:val="center" w:pos="1440"/>
          <w:tab w:val="left" w:pos="1872"/>
          <w:tab w:val="left" w:pos="9187"/>
        </w:tabs>
        <w:rPr>
          <w:rFonts w:cs="Times New Roman"/>
        </w:rPr>
      </w:pPr>
    </w:p>
    <w:p w:rsidR="001B1222" w:rsidRPr="001B1222" w:rsidRDefault="001B1222" w:rsidP="001B1222">
      <w:pPr>
        <w:widowControl w:val="0"/>
        <w:tabs>
          <w:tab w:val="center" w:pos="590"/>
          <w:tab w:val="center" w:pos="1440"/>
          <w:tab w:val="left" w:pos="1872"/>
          <w:tab w:val="left" w:pos="9187"/>
        </w:tabs>
        <w:rPr>
          <w:rFonts w:cs="Times New Roman"/>
        </w:rPr>
      </w:pPr>
      <w:r w:rsidRPr="001B1222">
        <w:rPr>
          <w:rFonts w:cs="Times New Roman"/>
          <w:u w:val="single"/>
        </w:rPr>
        <w:tab/>
        <w:t>Date</w:t>
      </w:r>
      <w:r w:rsidRPr="001B1222">
        <w:rPr>
          <w:rFonts w:cs="Times New Roman"/>
          <w:u w:val="single"/>
        </w:rPr>
        <w:tab/>
        <w:t>Body</w:t>
      </w:r>
      <w:r w:rsidRPr="001B1222">
        <w:rPr>
          <w:rFonts w:cs="Times New Roman"/>
          <w:u w:val="single"/>
        </w:rPr>
        <w:tab/>
        <w:t>Action Description with journal page number</w:t>
      </w:r>
      <w:r w:rsidRPr="001B1222">
        <w:rPr>
          <w:rFonts w:cs="Times New Roman"/>
          <w:u w:val="single"/>
        </w:rPr>
        <w:tab/>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556591">
        <w:rPr>
          <w:rFonts w:cs="Times New Roman"/>
        </w:rPr>
        <w:t>Introduced and read first time (</w:t>
      </w:r>
      <w:hyperlink r:id="rId6" w:history="1">
        <w:r w:rsidRPr="000A295A">
          <w:rPr>
            <w:rStyle w:val="Hyperlink"/>
            <w:rFonts w:cs="Times New Roman"/>
          </w:rPr>
          <w:t>Senate Journal</w:t>
        </w:r>
        <w:r w:rsidRPr="000A295A">
          <w:rPr>
            <w:rStyle w:val="Hyperlink"/>
            <w:rFonts w:cs="Times New Roman"/>
          </w:rPr>
          <w:noBreakHyphen/>
          <w:t>page 3</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556591">
        <w:rPr>
          <w:rFonts w:cs="Times New Roman"/>
        </w:rPr>
        <w:t>Ref</w:t>
      </w:r>
      <w:r>
        <w:rPr>
          <w:rFonts w:cs="Times New Roman"/>
        </w:rPr>
        <w:t xml:space="preserve">erred to Committee on </w:t>
      </w:r>
      <w:r w:rsidRPr="00556591">
        <w:rPr>
          <w:rFonts w:cs="Times New Roman"/>
          <w:b/>
        </w:rPr>
        <w:t>Education</w:t>
      </w:r>
      <w:r>
        <w:rPr>
          <w:rFonts w:cs="Times New Roman"/>
        </w:rPr>
        <w:t xml:space="preserve"> </w:t>
      </w:r>
      <w:r w:rsidRPr="00556591">
        <w:rPr>
          <w:rFonts w:cs="Times New Roman"/>
        </w:rPr>
        <w:t>(</w:t>
      </w:r>
      <w:hyperlink r:id="rId7" w:history="1">
        <w:r w:rsidRPr="000A295A">
          <w:rPr>
            <w:rStyle w:val="Hyperlink"/>
            <w:rFonts w:cs="Times New Roman"/>
          </w:rPr>
          <w:t>Senate Journal</w:t>
        </w:r>
        <w:r w:rsidRPr="000A295A">
          <w:rPr>
            <w:rStyle w:val="Hyperlink"/>
            <w:rFonts w:cs="Times New Roman"/>
          </w:rPr>
          <w:noBreakHyphen/>
          <w:t>page 3</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556591">
        <w:rPr>
          <w:rFonts w:cs="Times New Roman"/>
        </w:rPr>
        <w:t>Committee r</w:t>
      </w:r>
      <w:r>
        <w:rPr>
          <w:rFonts w:cs="Times New Roman"/>
        </w:rPr>
        <w:t xml:space="preserve">eport: Favorable with amendment </w:t>
      </w:r>
      <w:r w:rsidRPr="00556591">
        <w:rPr>
          <w:rFonts w:cs="Times New Roman"/>
          <w:b/>
        </w:rPr>
        <w:t>Education</w:t>
      </w:r>
      <w:r w:rsidRPr="00556591">
        <w:rPr>
          <w:rFonts w:cs="Times New Roman"/>
        </w:rPr>
        <w:t xml:space="preserve"> (</w:t>
      </w:r>
      <w:hyperlink r:id="rId8" w:history="1">
        <w:r w:rsidRPr="000A295A">
          <w:rPr>
            <w:rStyle w:val="Hyperlink"/>
            <w:rFonts w:cs="Times New Roman"/>
          </w:rPr>
          <w:t>Senate Journal</w:t>
        </w:r>
        <w:r w:rsidRPr="000A295A">
          <w:rPr>
            <w:rStyle w:val="Hyperlink"/>
            <w:rFonts w:cs="Times New Roman"/>
          </w:rPr>
          <w:noBreakHyphen/>
          <w:t>page 5</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3/13/2015</w:t>
      </w:r>
      <w:r>
        <w:rPr>
          <w:rFonts w:cs="Times New Roman"/>
        </w:rPr>
        <w:tab/>
      </w:r>
      <w:r>
        <w:rPr>
          <w:rFonts w:cs="Times New Roman"/>
        </w:rPr>
        <w:tab/>
      </w:r>
      <w:r w:rsidRPr="00556591">
        <w:rPr>
          <w:rFonts w:cs="Times New Roman"/>
        </w:rPr>
        <w:t>Scrivener's error corrected</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556591">
        <w:rPr>
          <w:rFonts w:cs="Times New Roman"/>
        </w:rPr>
        <w:t>Committee Amendment Adopted (</w:t>
      </w:r>
      <w:hyperlink r:id="rId9" w:history="1">
        <w:r w:rsidRPr="000A295A">
          <w:rPr>
            <w:rStyle w:val="Hyperlink"/>
            <w:rFonts w:cs="Times New Roman"/>
          </w:rPr>
          <w:t>Senate Journal</w:t>
        </w:r>
        <w:r w:rsidRPr="000A295A">
          <w:rPr>
            <w:rStyle w:val="Hyperlink"/>
            <w:rFonts w:cs="Times New Roman"/>
          </w:rPr>
          <w:noBreakHyphen/>
          <w:t>page 22</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556591">
        <w:rPr>
          <w:rFonts w:cs="Times New Roman"/>
        </w:rPr>
        <w:t>Read second time (</w:t>
      </w:r>
      <w:hyperlink r:id="rId10" w:history="1">
        <w:r w:rsidRPr="000A295A">
          <w:rPr>
            <w:rStyle w:val="Hyperlink"/>
            <w:rFonts w:cs="Times New Roman"/>
          </w:rPr>
          <w:t>Senate Journal</w:t>
        </w:r>
        <w:r w:rsidRPr="000A295A">
          <w:rPr>
            <w:rStyle w:val="Hyperlink"/>
            <w:rFonts w:cs="Times New Roman"/>
          </w:rPr>
          <w:noBreakHyphen/>
          <w:t>page 22</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556591">
        <w:rPr>
          <w:rFonts w:cs="Times New Roman"/>
        </w:rPr>
        <w:t>Roll call Ayes</w:t>
      </w:r>
      <w:r>
        <w:rPr>
          <w:rFonts w:cs="Times New Roman"/>
        </w:rPr>
        <w:noBreakHyphen/>
      </w:r>
      <w:r w:rsidRPr="00556591">
        <w:rPr>
          <w:rFonts w:cs="Times New Roman"/>
        </w:rPr>
        <w:t>44  Nays</w:t>
      </w:r>
      <w:r>
        <w:rPr>
          <w:rFonts w:cs="Times New Roman"/>
        </w:rPr>
        <w:noBreakHyphen/>
      </w:r>
      <w:r w:rsidRPr="00556591">
        <w:rPr>
          <w:rFonts w:cs="Times New Roman"/>
        </w:rPr>
        <w:t>0 (</w:t>
      </w:r>
      <w:hyperlink r:id="rId11" w:history="1">
        <w:r w:rsidRPr="000A295A">
          <w:rPr>
            <w:rStyle w:val="Hyperlink"/>
            <w:rFonts w:cs="Times New Roman"/>
          </w:rPr>
          <w:t>Senate Journal</w:t>
        </w:r>
        <w:r w:rsidRPr="000A295A">
          <w:rPr>
            <w:rStyle w:val="Hyperlink"/>
            <w:rFonts w:cs="Times New Roman"/>
          </w:rPr>
          <w:noBreakHyphen/>
          <w:t>page 22</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556591">
        <w:rPr>
          <w:rFonts w:cs="Times New Roman"/>
        </w:rPr>
        <w:t>Re</w:t>
      </w:r>
      <w:r>
        <w:rPr>
          <w:rFonts w:cs="Times New Roman"/>
        </w:rPr>
        <w:t xml:space="preserve">ad third time and sent to House </w:t>
      </w:r>
      <w:r w:rsidRPr="00556591">
        <w:rPr>
          <w:rFonts w:cs="Times New Roman"/>
        </w:rPr>
        <w:t>(</w:t>
      </w:r>
      <w:hyperlink r:id="rId12" w:history="1">
        <w:r w:rsidRPr="000A295A">
          <w:rPr>
            <w:rStyle w:val="Hyperlink"/>
            <w:rFonts w:cs="Times New Roman"/>
          </w:rPr>
          <w:t>Senate Journal</w:t>
        </w:r>
        <w:r w:rsidRPr="000A295A">
          <w:rPr>
            <w:rStyle w:val="Hyperlink"/>
            <w:rFonts w:cs="Times New Roman"/>
          </w:rPr>
          <w:noBreakHyphen/>
          <w:t>page 8</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r>
      <w:r>
        <w:rPr>
          <w:rFonts w:cs="Times New Roman"/>
        </w:rPr>
        <w:tab/>
      </w:r>
      <w:r w:rsidRPr="00556591">
        <w:rPr>
          <w:rFonts w:cs="Times New Roman"/>
        </w:rPr>
        <w:t>Scrivener's error corrected</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56591">
        <w:rPr>
          <w:rFonts w:cs="Times New Roman"/>
        </w:rPr>
        <w:t>Introduced and read first time (</w:t>
      </w:r>
      <w:hyperlink r:id="rId13" w:history="1">
        <w:r w:rsidRPr="000A295A">
          <w:rPr>
            <w:rStyle w:val="Hyperlink"/>
            <w:rFonts w:cs="Times New Roman"/>
          </w:rPr>
          <w:t>House Journal</w:t>
        </w:r>
        <w:r w:rsidRPr="000A295A">
          <w:rPr>
            <w:rStyle w:val="Hyperlink"/>
            <w:rFonts w:cs="Times New Roman"/>
          </w:rPr>
          <w:noBreakHyphen/>
          <w:t>page 16</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56591">
        <w:rPr>
          <w:rFonts w:cs="Times New Roman"/>
        </w:rPr>
        <w:t>Referred to Co</w:t>
      </w:r>
      <w:r>
        <w:rPr>
          <w:rFonts w:cs="Times New Roman"/>
        </w:rPr>
        <w:t xml:space="preserve">mmittee on </w:t>
      </w:r>
      <w:r w:rsidRPr="00556591">
        <w:rPr>
          <w:rFonts w:cs="Times New Roman"/>
          <w:b/>
        </w:rPr>
        <w:t>Education and Public Works</w:t>
      </w:r>
      <w:r w:rsidRPr="00556591">
        <w:rPr>
          <w:rFonts w:cs="Times New Roman"/>
        </w:rPr>
        <w:t xml:space="preserve"> (</w:t>
      </w:r>
      <w:hyperlink r:id="rId14" w:history="1">
        <w:r w:rsidRPr="000A295A">
          <w:rPr>
            <w:rStyle w:val="Hyperlink"/>
            <w:rFonts w:cs="Times New Roman"/>
          </w:rPr>
          <w:t>House Journal</w:t>
        </w:r>
        <w:r w:rsidRPr="000A295A">
          <w:rPr>
            <w:rStyle w:val="Hyperlink"/>
            <w:rFonts w:cs="Times New Roman"/>
          </w:rPr>
          <w:noBreakHyphen/>
          <w:t>page 16</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556591">
        <w:rPr>
          <w:rFonts w:cs="Times New Roman"/>
        </w:rPr>
        <w:t>Committee report:</w:t>
      </w:r>
      <w:r>
        <w:rPr>
          <w:rFonts w:cs="Times New Roman"/>
        </w:rPr>
        <w:t xml:space="preserve"> Favorable </w:t>
      </w:r>
      <w:r w:rsidRPr="00556591">
        <w:rPr>
          <w:rFonts w:cs="Times New Roman"/>
          <w:b/>
        </w:rPr>
        <w:t>Education and Public Works</w:t>
      </w:r>
      <w:r w:rsidRPr="00556591">
        <w:rPr>
          <w:rFonts w:cs="Times New Roman"/>
        </w:rPr>
        <w:t xml:space="preserve"> (</w:t>
      </w:r>
      <w:hyperlink r:id="rId15" w:history="1">
        <w:r w:rsidRPr="000A295A">
          <w:rPr>
            <w:rStyle w:val="Hyperlink"/>
            <w:rFonts w:cs="Times New Roman"/>
          </w:rPr>
          <w:t>House Journal</w:t>
        </w:r>
        <w:r w:rsidRPr="000A295A">
          <w:rPr>
            <w:rStyle w:val="Hyperlink"/>
            <w:rFonts w:cs="Times New Roman"/>
          </w:rPr>
          <w:noBreakHyphen/>
          <w:t>page 10</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56591">
        <w:rPr>
          <w:rFonts w:cs="Times New Roman"/>
        </w:rPr>
        <w:t>Read second time (</w:t>
      </w:r>
      <w:hyperlink r:id="rId16" w:history="1">
        <w:r w:rsidRPr="000A295A">
          <w:rPr>
            <w:rStyle w:val="Hyperlink"/>
            <w:rFonts w:cs="Times New Roman"/>
          </w:rPr>
          <w:t>House Journal</w:t>
        </w:r>
        <w:r w:rsidRPr="000A295A">
          <w:rPr>
            <w:rStyle w:val="Hyperlink"/>
            <w:rFonts w:cs="Times New Roman"/>
          </w:rPr>
          <w:noBreakHyphen/>
          <w:t>page 100</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556591">
        <w:rPr>
          <w:rFonts w:cs="Times New Roman"/>
        </w:rPr>
        <w:t>Roll call Yeas</w:t>
      </w:r>
      <w:r>
        <w:rPr>
          <w:rFonts w:cs="Times New Roman"/>
        </w:rPr>
        <w:noBreakHyphen/>
      </w:r>
      <w:r w:rsidRPr="00556591">
        <w:rPr>
          <w:rFonts w:cs="Times New Roman"/>
        </w:rPr>
        <w:t>102  Nays</w:t>
      </w:r>
      <w:r>
        <w:rPr>
          <w:rFonts w:cs="Times New Roman"/>
        </w:rPr>
        <w:noBreakHyphen/>
      </w:r>
      <w:r w:rsidRPr="00556591">
        <w:rPr>
          <w:rFonts w:cs="Times New Roman"/>
        </w:rPr>
        <w:t>0 (</w:t>
      </w:r>
      <w:hyperlink r:id="rId17" w:history="1">
        <w:r w:rsidRPr="000A295A">
          <w:rPr>
            <w:rStyle w:val="Hyperlink"/>
            <w:rFonts w:cs="Times New Roman"/>
          </w:rPr>
          <w:t>House Journal</w:t>
        </w:r>
        <w:r w:rsidRPr="000A295A">
          <w:rPr>
            <w:rStyle w:val="Hyperlink"/>
            <w:rFonts w:cs="Times New Roman"/>
          </w:rPr>
          <w:noBreakHyphen/>
          <w:t>page 101</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56591">
        <w:rPr>
          <w:rFonts w:cs="Times New Roman"/>
        </w:rPr>
        <w:t>Read third time and enrolled (</w:t>
      </w:r>
      <w:hyperlink r:id="rId18" w:history="1">
        <w:r w:rsidRPr="000A295A">
          <w:rPr>
            <w:rStyle w:val="Hyperlink"/>
            <w:rFonts w:cs="Times New Roman"/>
          </w:rPr>
          <w:t>House Journal</w:t>
        </w:r>
        <w:r w:rsidRPr="000A295A">
          <w:rPr>
            <w:rStyle w:val="Hyperlink"/>
            <w:rFonts w:cs="Times New Roman"/>
          </w:rPr>
          <w:noBreakHyphen/>
          <w:t>page 31</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56591">
        <w:rPr>
          <w:rFonts w:cs="Times New Roman"/>
        </w:rPr>
        <w:t>Roll call Yeas</w:t>
      </w:r>
      <w:r>
        <w:rPr>
          <w:rFonts w:cs="Times New Roman"/>
        </w:rPr>
        <w:noBreakHyphen/>
      </w:r>
      <w:r w:rsidRPr="00556591">
        <w:rPr>
          <w:rFonts w:cs="Times New Roman"/>
        </w:rPr>
        <w:t>98  Nays</w:t>
      </w:r>
      <w:r>
        <w:rPr>
          <w:rFonts w:cs="Times New Roman"/>
        </w:rPr>
        <w:noBreakHyphen/>
      </w:r>
      <w:r w:rsidRPr="00556591">
        <w:rPr>
          <w:rFonts w:cs="Times New Roman"/>
        </w:rPr>
        <w:t>0 (</w:t>
      </w:r>
      <w:hyperlink r:id="rId19" w:history="1">
        <w:r w:rsidRPr="000A295A">
          <w:rPr>
            <w:rStyle w:val="Hyperlink"/>
            <w:rFonts w:cs="Times New Roman"/>
          </w:rPr>
          <w:t>House Journal</w:t>
        </w:r>
        <w:r w:rsidRPr="000A295A">
          <w:rPr>
            <w:rStyle w:val="Hyperlink"/>
            <w:rFonts w:cs="Times New Roman"/>
          </w:rPr>
          <w:noBreakHyphen/>
          <w:t>page 31</w:t>
        </w:r>
      </w:hyperlink>
      <w:r w:rsidRPr="00556591">
        <w:rPr>
          <w:rFonts w:cs="Times New Roman"/>
        </w:rPr>
        <w:t>)</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56591">
        <w:rPr>
          <w:rFonts w:cs="Times New Roman"/>
        </w:rPr>
        <w:t>Ratified R 23</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56591">
        <w:rPr>
          <w:rFonts w:cs="Times New Roman"/>
        </w:rPr>
        <w:t>Signed By Governor</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556591">
        <w:rPr>
          <w:rFonts w:cs="Times New Roman"/>
        </w:rPr>
        <w:t>Effective date 07/01/15</w:t>
      </w:r>
    </w:p>
    <w:p w:rsidR="007012FB" w:rsidRDefault="007012FB" w:rsidP="007012F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556591">
        <w:rPr>
          <w:rFonts w:cs="Times New Roman"/>
        </w:rPr>
        <w:t>Act No</w:t>
      </w:r>
      <w:r>
        <w:rPr>
          <w:rFonts w:cs="Times New Roman"/>
        </w:rPr>
        <w:t>. </w:t>
      </w:r>
      <w:r w:rsidRPr="00556591">
        <w:rPr>
          <w:rFonts w:cs="Times New Roman"/>
        </w:rPr>
        <w:t>11</w:t>
      </w:r>
    </w:p>
    <w:p w:rsidR="007012FB" w:rsidRDefault="007012FB" w:rsidP="007012FB">
      <w:pPr>
        <w:widowControl w:val="0"/>
        <w:tabs>
          <w:tab w:val="right" w:pos="1008"/>
          <w:tab w:val="left" w:pos="1152"/>
          <w:tab w:val="left" w:pos="1872"/>
          <w:tab w:val="left" w:pos="9187"/>
        </w:tabs>
        <w:ind w:left="2088" w:hanging="2088"/>
        <w:rPr>
          <w:rFonts w:cs="Times New Roman"/>
        </w:rPr>
      </w:pPr>
    </w:p>
    <w:p w:rsidR="001B1222" w:rsidRPr="001B1222" w:rsidRDefault="001B1222" w:rsidP="001B1222">
      <w:pPr>
        <w:widowControl w:val="0"/>
        <w:tabs>
          <w:tab w:val="right" w:pos="1008"/>
          <w:tab w:val="left" w:pos="1152"/>
          <w:tab w:val="left" w:pos="1872"/>
          <w:tab w:val="left" w:pos="9187"/>
        </w:tabs>
        <w:ind w:left="2088" w:hanging="2088"/>
        <w:rPr>
          <w:rFonts w:cs="Times New Roman"/>
        </w:rPr>
      </w:pPr>
      <w:r w:rsidRPr="001B1222">
        <w:rPr>
          <w:rFonts w:cs="Times New Roman"/>
        </w:rPr>
        <w:t xml:space="preserve">View the latest </w:t>
      </w:r>
      <w:hyperlink r:id="rId20" w:history="1">
        <w:r w:rsidRPr="001B1222">
          <w:rPr>
            <w:rFonts w:cs="Times New Roman"/>
            <w:color w:val="0000FF" w:themeColor="hyperlink"/>
            <w:u w:val="single"/>
          </w:rPr>
          <w:t>legislative information</w:t>
        </w:r>
      </w:hyperlink>
      <w:r w:rsidRPr="001B1222">
        <w:rPr>
          <w:rFonts w:cs="Times New Roman"/>
        </w:rPr>
        <w:t xml:space="preserve"> at the website</w:t>
      </w:r>
    </w:p>
    <w:p w:rsidR="001B1222" w:rsidRPr="001B1222" w:rsidRDefault="001B1222" w:rsidP="001B1222">
      <w:pPr>
        <w:widowControl w:val="0"/>
        <w:tabs>
          <w:tab w:val="right" w:pos="1008"/>
          <w:tab w:val="left" w:pos="1152"/>
          <w:tab w:val="left" w:pos="1872"/>
          <w:tab w:val="left" w:pos="9187"/>
        </w:tabs>
        <w:ind w:left="2088" w:hanging="2088"/>
        <w:rPr>
          <w:rFonts w:cs="Times New Roman"/>
        </w:rPr>
      </w:pPr>
    </w:p>
    <w:p w:rsidR="001B1222" w:rsidRPr="001B1222" w:rsidRDefault="001B1222" w:rsidP="001B1222">
      <w:pPr>
        <w:widowControl w:val="0"/>
        <w:tabs>
          <w:tab w:val="right" w:pos="1008"/>
          <w:tab w:val="left" w:pos="1152"/>
          <w:tab w:val="left" w:pos="1872"/>
          <w:tab w:val="left" w:pos="9187"/>
        </w:tabs>
        <w:ind w:left="2088" w:hanging="2088"/>
        <w:rPr>
          <w:rFonts w:cs="Times New Roman"/>
        </w:rPr>
      </w:pP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B1222">
        <w:rPr>
          <w:rFonts w:cs="Times New Roman"/>
          <w:b/>
        </w:rPr>
        <w:t>VERSIONS OF THIS BILL</w:t>
      </w:r>
    </w:p>
    <w:p w:rsidR="001B1222" w:rsidRPr="001B1222" w:rsidRDefault="001B1222"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Pr="001B1222" w:rsidRDefault="000A295A" w:rsidP="001B12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B1222" w:rsidRPr="001B1222">
          <w:rPr>
            <w:rFonts w:cs="Times New Roman"/>
            <w:color w:val="0000FF" w:themeColor="hyperlink"/>
            <w:u w:val="single"/>
          </w:rPr>
          <w:t>1/29/2015</w:t>
        </w:r>
      </w:hyperlink>
    </w:p>
    <w:p w:rsidR="001B1222" w:rsidRPr="001B1222" w:rsidRDefault="000A295A"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B1222" w:rsidRPr="001B1222">
          <w:rPr>
            <w:rFonts w:cs="Times New Roman"/>
            <w:color w:val="0000FF" w:themeColor="hyperlink"/>
            <w:u w:val="single"/>
          </w:rPr>
          <w:t>3/12/2015</w:t>
        </w:r>
      </w:hyperlink>
    </w:p>
    <w:p w:rsidR="001B1222" w:rsidRPr="001B1222" w:rsidRDefault="000A295A"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B1222" w:rsidRPr="001B1222">
          <w:rPr>
            <w:rFonts w:cs="Times New Roman"/>
            <w:color w:val="0000FF" w:themeColor="hyperlink"/>
            <w:u w:val="single"/>
          </w:rPr>
          <w:t>3/13/2015</w:t>
        </w:r>
      </w:hyperlink>
    </w:p>
    <w:p w:rsidR="001B1222" w:rsidRPr="001B1222" w:rsidRDefault="000A295A"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B1222" w:rsidRPr="001B1222">
          <w:rPr>
            <w:rFonts w:cs="Times New Roman"/>
            <w:color w:val="0000FF" w:themeColor="hyperlink"/>
            <w:u w:val="single"/>
          </w:rPr>
          <w:t>3/18/2015</w:t>
        </w:r>
      </w:hyperlink>
    </w:p>
    <w:p w:rsidR="001B1222" w:rsidRPr="001B1222" w:rsidRDefault="000A295A"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B1222" w:rsidRPr="001B1222">
          <w:rPr>
            <w:rFonts w:cs="Times New Roman"/>
            <w:color w:val="0000FF" w:themeColor="hyperlink"/>
            <w:u w:val="single"/>
          </w:rPr>
          <w:t>3/19/2015</w:t>
        </w:r>
      </w:hyperlink>
    </w:p>
    <w:p w:rsidR="001B1222" w:rsidRPr="001B1222" w:rsidRDefault="000A295A"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B1222" w:rsidRPr="001B1222">
          <w:rPr>
            <w:rFonts w:cs="Times New Roman"/>
            <w:color w:val="0000FF" w:themeColor="hyperlink"/>
            <w:u w:val="single"/>
          </w:rPr>
          <w:t>4/23/2015</w:t>
        </w:r>
      </w:hyperlink>
    </w:p>
    <w:p w:rsidR="001B1222" w:rsidRPr="001B1222" w:rsidRDefault="001B1222"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B1222" w:rsidRDefault="001B1222" w:rsidP="001B12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1222" w:rsidSect="001B1222">
          <w:pgSz w:w="12240" w:h="15840" w:code="1"/>
          <w:pgMar w:top="1080" w:right="1440" w:bottom="1080" w:left="1440" w:header="720" w:footer="720" w:gutter="0"/>
          <w:pgNumType w:start="1"/>
          <w:cols w:space="720"/>
          <w:noEndnote/>
          <w:docGrid w:linePitch="360"/>
        </w:sectPr>
      </w:pPr>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 R23, S391)</w:t>
      </w:r>
    </w:p>
    <w:p w:rsidR="0051138F" w:rsidRPr="008836A5"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38F" w:rsidRPr="001B1222"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1222">
        <w:rPr>
          <w:rFonts w:cs="Times New Roman"/>
          <w:b/>
          <w:color w:val="000000" w:themeColor="text1"/>
          <w:szCs w:val="36"/>
        </w:rPr>
        <w:t xml:space="preserve">AN ACT </w:t>
      </w:r>
      <w:r w:rsidRPr="001B1222">
        <w:rPr>
          <w:rFonts w:eastAsia="Times New Roman" w:cs="Times New Roman"/>
          <w:b/>
        </w:rPr>
        <w:t>TO AMEND SECTION 59</w:t>
      </w:r>
      <w:r w:rsidRPr="001B1222">
        <w:rPr>
          <w:rFonts w:eastAsia="Times New Roman" w:cs="Times New Roman"/>
          <w:b/>
        </w:rPr>
        <w:noBreakHyphen/>
        <w:t>112</w:t>
      </w:r>
      <w:r w:rsidRPr="001B1222">
        <w:rPr>
          <w:rFonts w:eastAsia="Times New Roman" w:cs="Times New Roman"/>
          <w:b/>
        </w:rPr>
        <w:noBreakHyphen/>
        <w:t>50, AS AMENDED, CODE OF LAWS OF SOUTH CAROLINA, 1976, RELATING TO IN</w:t>
      </w:r>
      <w:r w:rsidRPr="001B1222">
        <w:rPr>
          <w:rFonts w:eastAsia="Times New Roman" w:cs="Times New Roman"/>
          <w:b/>
        </w:rPr>
        <w:noBreakHyphen/>
        <w:t>STATE TUITION RATES FOR MILITARY PERSONNEL AND THEIR DEPENDENTS UNDER CERTAIN CONDITIONS, SO AS TO PROVIDE THAT ACTIVE DUTY MILITARY PERSONNEL MAY BE CHARGED LESS THAN THE UNDERGRADUATE TUITION RATE FOR SOUTH CAROLINA RESIDENTS FOR COURSES THAT ARE PRESENTED ON A DISTANCE BASIS, REGARDLESS OF RESIDENCY, AND TO PROVIDE FOR THE MANNER IN WHICH AND CONDITIONS UNDER WHICH CERTAIN VETERANS RECEIVING SPECIFIED FEDERAL EDUCATIONAL BENEFITS AND ENROLLED IN A STATE INSTITUTION AND PERSONS RELATED TO THE VETERAN RECEIVING SPECIFIED FEDERAL EDUCATIONAL BENEFITS AND ENROLLED IN A STATE INSTITUTION ARE ENTITLED TO RECEIVE IN</w:t>
      </w:r>
      <w:r>
        <w:rPr>
          <w:rFonts w:eastAsia="Times New Roman" w:cs="Times New Roman"/>
          <w:b/>
        </w:rPr>
        <w:noBreakHyphen/>
      </w:r>
      <w:r w:rsidRPr="001B1222">
        <w:rPr>
          <w:rFonts w:eastAsia="Times New Roman" w:cs="Times New Roman"/>
          <w:b/>
        </w:rPr>
        <w:t>STATE TUITION RATES WITHOUT REGARD TO THE LENGTH OF TIME THE INDIVIDUAL HAS RESIDED IN THE STATE.</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5324E">
        <w:rPr>
          <w:rFonts w:eastAsia="Times New Roman" w:cs="Times New Roman"/>
        </w:rPr>
        <w:t>Be it enacted by the General Assembly of the State of South Carolina:</w:t>
      </w:r>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138F" w:rsidRPr="00095C59"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Tuition rates for active duty personnel and for certain veterans and their relations</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5324E">
        <w:rPr>
          <w:rFonts w:eastAsia="Times New Roman" w:cs="Times New Roman"/>
          <w:snapToGrid w:val="0"/>
          <w:szCs w:val="20"/>
        </w:rPr>
        <w:t>SECTION</w:t>
      </w:r>
      <w:r w:rsidRPr="00C5324E">
        <w:rPr>
          <w:rFonts w:eastAsia="Times New Roman" w:cs="Times New Roman"/>
          <w:snapToGrid w:val="0"/>
          <w:szCs w:val="20"/>
        </w:rPr>
        <w:tab/>
        <w:t>1.</w:t>
      </w:r>
      <w:r w:rsidRPr="00C5324E">
        <w:rPr>
          <w:rFonts w:eastAsia="Times New Roman" w:cs="Times New Roman"/>
          <w:snapToGrid w:val="0"/>
          <w:szCs w:val="20"/>
        </w:rPr>
        <w:tab/>
      </w:r>
      <w:r w:rsidRPr="00C5324E">
        <w:rPr>
          <w:rFonts w:eastAsia="Times New Roman" w:cs="Times New Roman"/>
        </w:rPr>
        <w:t>Section 59</w:t>
      </w:r>
      <w:r w:rsidRPr="00C5324E">
        <w:rPr>
          <w:rFonts w:eastAsia="Times New Roman" w:cs="Times New Roman"/>
        </w:rPr>
        <w:noBreakHyphen/>
        <w:t>112</w:t>
      </w:r>
      <w:r w:rsidRPr="00C5324E">
        <w:rPr>
          <w:rFonts w:eastAsia="Times New Roman" w:cs="Times New Roman"/>
        </w:rPr>
        <w:noBreakHyphen/>
        <w:t>50(B) of the 1976 Code</w:t>
      </w:r>
      <w:r>
        <w:rPr>
          <w:rFonts w:eastAsia="Times New Roman" w:cs="Times New Roman"/>
        </w:rPr>
        <w:t>, as last amended by Act 133 of 2012,</w:t>
      </w:r>
      <w:r w:rsidRPr="00C5324E">
        <w:rPr>
          <w:rFonts w:eastAsia="Times New Roman" w:cs="Times New Roman"/>
        </w:rPr>
        <w:t xml:space="preserve"> is</w:t>
      </w:r>
      <w:r>
        <w:rPr>
          <w:rFonts w:eastAsia="Times New Roman" w:cs="Times New Roman"/>
        </w:rPr>
        <w:t xml:space="preserve"> further</w:t>
      </w:r>
      <w:r w:rsidRPr="00C5324E">
        <w:rPr>
          <w:rFonts w:eastAsia="Times New Roman" w:cs="Times New Roman"/>
        </w:rPr>
        <w:t xml:space="preserve"> amended to read:</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t>“(B)(1)</w:t>
      </w:r>
      <w:r w:rsidRPr="00C5324E">
        <w:rPr>
          <w:rFonts w:eastAsia="Times New Roman" w:cs="Times New Roman"/>
          <w:snapToGrid w:val="0"/>
          <w:szCs w:val="20"/>
        </w:rPr>
        <w:tab/>
      </w:r>
      <w:r w:rsidRPr="00C5324E">
        <w:rPr>
          <w:rFonts w:eastAsia="Times New Roman" w:cs="Times New Roman"/>
          <w:snapToGrid w:val="0"/>
          <w:szCs w:val="20"/>
        </w:rPr>
        <w:tab/>
        <w:t>Active duty military personnel may be charged less than the undergraduate tuition rate for South Carolina residents for courses that are presented on a distance basis, regardless of residency.</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r>
      <w:r w:rsidRPr="00C5324E">
        <w:rPr>
          <w:rFonts w:eastAsia="Times New Roman" w:cs="Times New Roman"/>
          <w:snapToGrid w:val="0"/>
          <w:szCs w:val="20"/>
        </w:rPr>
        <w:tab/>
        <w:t>(2)</w:t>
      </w:r>
      <w:r w:rsidRPr="00C5324E">
        <w:rPr>
          <w:rFonts w:eastAsia="Times New Roman" w:cs="Times New Roman"/>
          <w:snapToGrid w:val="0"/>
          <w:szCs w:val="20"/>
        </w:rPr>
        <w:tab/>
        <w:t>For purposes of this section, ‘active duty military personnel’ includes, but is not limited to, active duty guardsmen and active duty reservists.</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t>(C)(1)</w:t>
      </w:r>
      <w:r w:rsidRPr="00C5324E">
        <w:rPr>
          <w:rFonts w:eastAsia="Times New Roman" w:cs="Times New Roman"/>
          <w:snapToGrid w:val="0"/>
          <w:szCs w:val="20"/>
        </w:rPr>
        <w:tab/>
        <w:t>Notwithstanding any other provision of law, a covered individual enrolled in a public institution of higher education and receiving educational assistance under Chapter 30 and Chapter 33, Title 38 of the United States Code are entitled to pay in</w:t>
      </w:r>
      <w:r w:rsidRPr="00C5324E">
        <w:rPr>
          <w:rFonts w:eastAsia="Times New Roman" w:cs="Times New Roman"/>
          <w:snapToGrid w:val="0"/>
          <w:szCs w:val="20"/>
        </w:rPr>
        <w:noBreakHyphen/>
        <w:t>state tuition and fees without regard to the length of time the covered individual has resided in this State.</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r>
      <w:r w:rsidRPr="00C5324E">
        <w:rPr>
          <w:rFonts w:eastAsia="Times New Roman" w:cs="Times New Roman"/>
          <w:snapToGrid w:val="0"/>
          <w:szCs w:val="20"/>
        </w:rPr>
        <w:tab/>
        <w:t>(2)</w:t>
      </w:r>
      <w:r w:rsidRPr="00C5324E">
        <w:rPr>
          <w:rFonts w:eastAsia="Times New Roman" w:cs="Times New Roman"/>
          <w:snapToGrid w:val="0"/>
          <w:szCs w:val="20"/>
        </w:rPr>
        <w:tab/>
        <w:t>For purposes of this subsection</w:t>
      </w:r>
      <w:r>
        <w:rPr>
          <w:rFonts w:eastAsia="Times New Roman" w:cs="Times New Roman"/>
          <w:snapToGrid w:val="0"/>
          <w:szCs w:val="20"/>
        </w:rPr>
        <w:t>,</w:t>
      </w:r>
      <w:r w:rsidRPr="00C5324E">
        <w:rPr>
          <w:rFonts w:eastAsia="Times New Roman" w:cs="Times New Roman"/>
          <w:snapToGrid w:val="0"/>
          <w:szCs w:val="20"/>
        </w:rPr>
        <w:t xml:space="preserve"> a covered individual is defined as:</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r>
      <w:r w:rsidRPr="00C5324E">
        <w:rPr>
          <w:rFonts w:eastAsia="Times New Roman" w:cs="Times New Roman"/>
          <w:snapToGrid w:val="0"/>
          <w:szCs w:val="20"/>
        </w:rPr>
        <w:tab/>
      </w:r>
      <w:r w:rsidRPr="00C5324E">
        <w:rPr>
          <w:rFonts w:eastAsia="Times New Roman" w:cs="Times New Roman"/>
          <w:snapToGrid w:val="0"/>
          <w:szCs w:val="20"/>
        </w:rPr>
        <w:tab/>
        <w:t>(a)</w:t>
      </w:r>
      <w:r w:rsidRPr="00C5324E">
        <w:rPr>
          <w:rFonts w:eastAsia="Times New Roman" w:cs="Times New Roman"/>
          <w:snapToGrid w:val="0"/>
          <w:szCs w:val="20"/>
        </w:rPr>
        <w:tab/>
        <w:t>a veteran who served ninety days or longer on active duty in the Uniformed Service of the United States, their respective Reserve forces, and the National Guard and who enrolls within three years of discharge; or</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r>
      <w:r w:rsidRPr="00C5324E">
        <w:rPr>
          <w:rFonts w:eastAsia="Times New Roman" w:cs="Times New Roman"/>
          <w:snapToGrid w:val="0"/>
          <w:szCs w:val="20"/>
        </w:rPr>
        <w:tab/>
      </w:r>
      <w:r w:rsidRPr="00C5324E">
        <w:rPr>
          <w:rFonts w:eastAsia="Times New Roman" w:cs="Times New Roman"/>
          <w:snapToGrid w:val="0"/>
          <w:szCs w:val="20"/>
        </w:rPr>
        <w:tab/>
        <w:t>(b)</w:t>
      </w:r>
      <w:r w:rsidRPr="00C5324E">
        <w:rPr>
          <w:rFonts w:eastAsia="Times New Roman" w:cs="Times New Roman"/>
          <w:snapToGrid w:val="0"/>
          <w:szCs w:val="20"/>
        </w:rPr>
        <w:tab/>
        <w:t xml:space="preserve">a person who is entitled to and receiving assistance under Section 3311(b)(9) or 3319, Title 38 of the United States Code by virtue of the person’s relationship to the veteran described in </w:t>
      </w:r>
      <w:r>
        <w:rPr>
          <w:rFonts w:eastAsia="Times New Roman" w:cs="Times New Roman"/>
          <w:snapToGrid w:val="0"/>
          <w:szCs w:val="20"/>
        </w:rPr>
        <w:t xml:space="preserve">subitem </w:t>
      </w:r>
      <w:r w:rsidRPr="00C5324E">
        <w:rPr>
          <w:rFonts w:eastAsia="Times New Roman" w:cs="Times New Roman"/>
          <w:snapToGrid w:val="0"/>
          <w:szCs w:val="20"/>
        </w:rPr>
        <w:t>(a)</w:t>
      </w:r>
      <w:r>
        <w:rPr>
          <w:rFonts w:eastAsia="Times New Roman" w:cs="Times New Roman"/>
          <w:snapToGrid w:val="0"/>
          <w:szCs w:val="20"/>
        </w:rPr>
        <w:t>.</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5324E">
        <w:rPr>
          <w:rFonts w:eastAsia="Times New Roman" w:cs="Times New Roman"/>
          <w:snapToGrid w:val="0"/>
          <w:szCs w:val="20"/>
        </w:rPr>
        <w:tab/>
      </w:r>
      <w:r w:rsidRPr="00C5324E">
        <w:rPr>
          <w:rFonts w:eastAsia="Times New Roman" w:cs="Times New Roman"/>
          <w:snapToGrid w:val="0"/>
          <w:szCs w:val="20"/>
        </w:rPr>
        <w:tab/>
        <w:t>(3)</w:t>
      </w:r>
      <w:r w:rsidRPr="00C5324E">
        <w:rPr>
          <w:rFonts w:eastAsia="Times New Roman" w:cs="Times New Roman"/>
          <w:snapToGrid w:val="0"/>
          <w:szCs w:val="20"/>
        </w:rPr>
        <w:tab/>
        <w:t>A covered individual must live in this State while enrolled at the in</w:t>
      </w:r>
      <w:r w:rsidRPr="00C5324E">
        <w:rPr>
          <w:rFonts w:eastAsia="Times New Roman" w:cs="Times New Roman"/>
          <w:snapToGrid w:val="0"/>
          <w:szCs w:val="20"/>
        </w:rPr>
        <w:noBreakHyphen/>
        <w:t>state institution.</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5324E">
        <w:rPr>
          <w:rFonts w:eastAsia="Times New Roman" w:cs="Times New Roman"/>
          <w:snapToGrid w:val="0"/>
          <w:szCs w:val="20"/>
        </w:rPr>
        <w:tab/>
      </w:r>
      <w:r w:rsidRPr="00C5324E">
        <w:rPr>
          <w:rFonts w:eastAsia="Times New Roman" w:cs="Times New Roman"/>
          <w:snapToGrid w:val="0"/>
          <w:szCs w:val="20"/>
        </w:rPr>
        <w:tab/>
        <w:t>(4)</w:t>
      </w:r>
      <w:r w:rsidRPr="00C5324E">
        <w:rPr>
          <w:rFonts w:eastAsia="Times New Roman" w:cs="Times New Roman"/>
          <w:snapToGrid w:val="0"/>
          <w:szCs w:val="20"/>
        </w:rPr>
        <w:tab/>
        <w:t>At the conclusion of the applicable three year period in subsection (C)(2)(a), a covered individual shall remain eligible for in</w:t>
      </w:r>
      <w:r w:rsidRPr="00C5324E">
        <w:rPr>
          <w:rFonts w:eastAsia="Times New Roman" w:cs="Times New Roman"/>
          <w:snapToGrid w:val="0"/>
          <w:szCs w:val="20"/>
        </w:rPr>
        <w:noBreakHyphen/>
        <w:t>state rates as long as he remains continuously enrolled in an in</w:t>
      </w:r>
      <w:r w:rsidRPr="00C5324E">
        <w:rPr>
          <w:rFonts w:eastAsia="Times New Roman" w:cs="Times New Roman"/>
          <w:snapToGrid w:val="0"/>
          <w:szCs w:val="20"/>
        </w:rPr>
        <w:noBreakHyphen/>
        <w:t>state institution or transfers to another in</w:t>
      </w:r>
      <w:r w:rsidRPr="00C5324E">
        <w:rPr>
          <w:rFonts w:eastAsia="Times New Roman" w:cs="Times New Roman"/>
          <w:snapToGrid w:val="0"/>
          <w:szCs w:val="20"/>
        </w:rPr>
        <w:noBreakHyphen/>
        <w:t>state institution during the term or semester, excluding summer terms, immediately following his enrollment at the previous in</w:t>
      </w:r>
      <w:r w:rsidRPr="00C5324E">
        <w:rPr>
          <w:rFonts w:eastAsia="Times New Roman" w:cs="Times New Roman"/>
          <w:snapToGrid w:val="0"/>
          <w:szCs w:val="20"/>
        </w:rPr>
        <w:noBreakHyphen/>
        <w:t>state institution. In the event of a transfer, the in</w:t>
      </w:r>
      <w:r w:rsidRPr="00C5324E">
        <w:rPr>
          <w:rFonts w:eastAsia="Times New Roman" w:cs="Times New Roman"/>
          <w:snapToGrid w:val="0"/>
          <w:szCs w:val="20"/>
        </w:rPr>
        <w:noBreakHyphen/>
        <w:t>state institution receiving the covered individual shall verify the covered individual’s eligibility for in</w:t>
      </w:r>
      <w:r w:rsidRPr="00C5324E">
        <w:rPr>
          <w:rFonts w:eastAsia="Times New Roman" w:cs="Times New Roman"/>
          <w:snapToGrid w:val="0"/>
          <w:szCs w:val="20"/>
        </w:rPr>
        <w:noBreakHyphen/>
        <w:t>state rates with the covered individual’s prior in</w:t>
      </w:r>
      <w:r w:rsidRPr="00C5324E">
        <w:rPr>
          <w:rFonts w:eastAsia="Times New Roman" w:cs="Times New Roman"/>
          <w:snapToGrid w:val="0"/>
          <w:szCs w:val="20"/>
        </w:rPr>
        <w:noBreakHyphen/>
        <w:t>state institution. It is the responsibility of the transferring covered individual to ensure all documents required to verify both the previous and present residency decisions are provided to the in</w:t>
      </w:r>
      <w:r w:rsidRPr="00C5324E">
        <w:rPr>
          <w:rFonts w:eastAsia="Times New Roman" w:cs="Times New Roman"/>
          <w:snapToGrid w:val="0"/>
          <w:szCs w:val="20"/>
        </w:rPr>
        <w:noBreakHyphen/>
        <w:t>state institution.”</w:t>
      </w:r>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138F" w:rsidRPr="00095C59"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5324E">
        <w:rPr>
          <w:rFonts w:eastAsia="Times New Roman" w:cs="Times New Roman"/>
        </w:rPr>
        <w:t>SECTION</w:t>
      </w:r>
      <w:r w:rsidRPr="00C5324E">
        <w:rPr>
          <w:rFonts w:eastAsia="Times New Roman" w:cs="Times New Roman"/>
        </w:rPr>
        <w:tab/>
        <w:t>2.</w:t>
      </w:r>
      <w:r w:rsidRPr="00C5324E">
        <w:rPr>
          <w:rFonts w:eastAsia="Times New Roman" w:cs="Times New Roman"/>
        </w:rPr>
        <w:tab/>
        <w:t>This act takes effect on July 1, 2015.</w:t>
      </w:r>
    </w:p>
    <w:p w:rsidR="0051138F" w:rsidRPr="00C5324E"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38F" w:rsidRDefault="0051138F"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51138F" w:rsidRDefault="0051138F" w:rsidP="0051138F">
      <w:pPr>
        <w:jc w:val="both"/>
        <w:rPr>
          <w:color w:val="000000" w:themeColor="text1"/>
        </w:rPr>
      </w:pPr>
    </w:p>
    <w:p w:rsidR="0051138F" w:rsidRDefault="0051138F" w:rsidP="0051138F">
      <w:pPr>
        <w:jc w:val="both"/>
        <w:rPr>
          <w:color w:val="000000" w:themeColor="text1"/>
        </w:rPr>
      </w:pPr>
      <w:r>
        <w:rPr>
          <w:color w:val="000000" w:themeColor="text1"/>
        </w:rPr>
        <w:t>Approved the 7</w:t>
      </w:r>
      <w:r w:rsidRPr="007210ED">
        <w:rPr>
          <w:color w:val="000000" w:themeColor="text1"/>
          <w:vertAlign w:val="superscript"/>
        </w:rPr>
        <w:t>th</w:t>
      </w:r>
      <w:r>
        <w:rPr>
          <w:color w:val="000000" w:themeColor="text1"/>
        </w:rPr>
        <w:t xml:space="preserve"> day of May, 2015. </w:t>
      </w:r>
    </w:p>
    <w:p w:rsidR="0051138F" w:rsidRDefault="0051138F" w:rsidP="0051138F">
      <w:pPr>
        <w:jc w:val="center"/>
        <w:rPr>
          <w:color w:val="000000" w:themeColor="text1"/>
        </w:rPr>
      </w:pPr>
    </w:p>
    <w:p w:rsidR="0051138F" w:rsidRDefault="0051138F" w:rsidP="0051138F">
      <w:pPr>
        <w:jc w:val="center"/>
        <w:rPr>
          <w:color w:val="000000" w:themeColor="text1"/>
        </w:rPr>
      </w:pPr>
      <w:r>
        <w:rPr>
          <w:color w:val="000000" w:themeColor="text1"/>
        </w:rPr>
        <w:t>__________</w:t>
      </w:r>
    </w:p>
    <w:p w:rsidR="001B1222" w:rsidRPr="00050427" w:rsidRDefault="001B1222" w:rsidP="005113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B1222" w:rsidRPr="00050427" w:rsidSect="001B122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5B" w:rsidRDefault="00CB675B" w:rsidP="007D5FAC">
      <w:r>
        <w:separator/>
      </w:r>
    </w:p>
  </w:endnote>
  <w:endnote w:type="continuationSeparator" w:id="0">
    <w:p w:rsidR="00CB675B" w:rsidRDefault="00CB675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222" w:rsidRPr="001B1222" w:rsidRDefault="001B1222" w:rsidP="001B122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13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222" w:rsidRDefault="001B12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5B" w:rsidRDefault="00CB675B" w:rsidP="007D5FAC">
      <w:r>
        <w:separator/>
      </w:r>
    </w:p>
  </w:footnote>
  <w:footnote w:type="continuationSeparator" w:id="0">
    <w:p w:rsidR="00CB675B" w:rsidRDefault="00CB675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91"/>
    <w:docVar w:name="ActSecretary" w:val="Lee"/>
    <w:docVar w:name="ActSIdno" w:val="(14)  391SD15"/>
    <w:docVar w:name="clipname" w:val="391SD15"/>
    <w:docVar w:name="dvBillNumber" w:val="391"/>
    <w:docVar w:name="dvBillNumberPrefix" w:val="S"/>
    <w:docVar w:name="dvOriginalBody" w:val="Senate"/>
    <w:docVar w:name="OrigSENATEBillNo" w:val="391"/>
    <w:docVar w:name="SENATEACTFULLPATH" w:val="L:\COUNCIL\ACTS\391SD15.DOCX"/>
    <w:docVar w:name="WhatActtype" w:val="AN ACT"/>
  </w:docVars>
  <w:rsids>
    <w:rsidRoot w:val="00CB675B"/>
    <w:rsid w:val="00002DE0"/>
    <w:rsid w:val="000117CB"/>
    <w:rsid w:val="00020349"/>
    <w:rsid w:val="00021B0B"/>
    <w:rsid w:val="00030487"/>
    <w:rsid w:val="00040C05"/>
    <w:rsid w:val="00041424"/>
    <w:rsid w:val="0004579B"/>
    <w:rsid w:val="00050427"/>
    <w:rsid w:val="00051B4F"/>
    <w:rsid w:val="00055653"/>
    <w:rsid w:val="000673E4"/>
    <w:rsid w:val="0007088D"/>
    <w:rsid w:val="000731E9"/>
    <w:rsid w:val="00074565"/>
    <w:rsid w:val="000745CE"/>
    <w:rsid w:val="00076A1A"/>
    <w:rsid w:val="00077DA3"/>
    <w:rsid w:val="00081300"/>
    <w:rsid w:val="00085C37"/>
    <w:rsid w:val="00086E11"/>
    <w:rsid w:val="00092EE6"/>
    <w:rsid w:val="00094A6C"/>
    <w:rsid w:val="00095C59"/>
    <w:rsid w:val="00096A9B"/>
    <w:rsid w:val="00096BDA"/>
    <w:rsid w:val="000A295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1222"/>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498"/>
    <w:rsid w:val="00254411"/>
    <w:rsid w:val="00255475"/>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38F"/>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073"/>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35B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E97"/>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2FB"/>
    <w:rsid w:val="00704FF9"/>
    <w:rsid w:val="007052EC"/>
    <w:rsid w:val="00707063"/>
    <w:rsid w:val="007127A6"/>
    <w:rsid w:val="00731C9E"/>
    <w:rsid w:val="00734C77"/>
    <w:rsid w:val="00737039"/>
    <w:rsid w:val="007373C7"/>
    <w:rsid w:val="0074232E"/>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5E2"/>
    <w:rsid w:val="00895F7C"/>
    <w:rsid w:val="008B2051"/>
    <w:rsid w:val="008B48BD"/>
    <w:rsid w:val="008B552D"/>
    <w:rsid w:val="008C325E"/>
    <w:rsid w:val="008E03BA"/>
    <w:rsid w:val="008E1BCF"/>
    <w:rsid w:val="008F4CA1"/>
    <w:rsid w:val="008F510F"/>
    <w:rsid w:val="008F5835"/>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F98"/>
    <w:rsid w:val="00971351"/>
    <w:rsid w:val="0097332E"/>
    <w:rsid w:val="00974FD7"/>
    <w:rsid w:val="00980444"/>
    <w:rsid w:val="00980F25"/>
    <w:rsid w:val="00982E93"/>
    <w:rsid w:val="00990677"/>
    <w:rsid w:val="00997D30"/>
    <w:rsid w:val="009A31B6"/>
    <w:rsid w:val="009A467A"/>
    <w:rsid w:val="009B0FA5"/>
    <w:rsid w:val="009B52F6"/>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2CA"/>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2327"/>
    <w:rsid w:val="00BF238C"/>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274"/>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675B"/>
    <w:rsid w:val="00CC2825"/>
    <w:rsid w:val="00CE1407"/>
    <w:rsid w:val="00CE54EA"/>
    <w:rsid w:val="00CE5B85"/>
    <w:rsid w:val="00CF02E7"/>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76FE9"/>
    <w:rsid w:val="00E9303D"/>
    <w:rsid w:val="00EA0A06"/>
    <w:rsid w:val="00EA2A3A"/>
    <w:rsid w:val="00EA77B0"/>
    <w:rsid w:val="00EB223A"/>
    <w:rsid w:val="00EC47CE"/>
    <w:rsid w:val="00ED4871"/>
    <w:rsid w:val="00EE42B4"/>
    <w:rsid w:val="00EE663F"/>
    <w:rsid w:val="00EF0E4A"/>
    <w:rsid w:val="00EF3301"/>
    <w:rsid w:val="00EF6923"/>
    <w:rsid w:val="00F009C1"/>
    <w:rsid w:val="00F035BD"/>
    <w:rsid w:val="00F04EDC"/>
    <w:rsid w:val="00F07446"/>
    <w:rsid w:val="00F10FAC"/>
    <w:rsid w:val="00F16F4D"/>
    <w:rsid w:val="00F178BC"/>
    <w:rsid w:val="00F21DD7"/>
    <w:rsid w:val="00F24361"/>
    <w:rsid w:val="00F24FF7"/>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46D6F7A-FE62-4490-BAB5-46CDE3EE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B122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33E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E97"/>
    <w:rPr>
      <w:rFonts w:ascii="Segoe UI" w:hAnsi="Segoe UI" w:cs="Segoe UI"/>
      <w:sz w:val="18"/>
      <w:szCs w:val="18"/>
    </w:rPr>
  </w:style>
  <w:style w:type="table" w:styleId="TableGrid">
    <w:name w:val="Table Grid"/>
    <w:basedOn w:val="TableNormal"/>
    <w:uiPriority w:val="59"/>
    <w:rsid w:val="0024349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B122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04E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2-15.docx" TargetMode="External"/><Relationship Id="rId13" Type="http://schemas.openxmlformats.org/officeDocument/2006/relationships/hyperlink" Target="file:///h:\HJ%20Archive\2015\03-24-15.docx" TargetMode="External"/><Relationship Id="rId18" Type="http://schemas.openxmlformats.org/officeDocument/2006/relationships/hyperlink" Target="file:///h:\HJ%20Archive\2015\04-29-15.docx" TargetMode="External"/><Relationship Id="rId26" Type="http://schemas.openxmlformats.org/officeDocument/2006/relationships/hyperlink" Target="file:///p:\pprever\2015-16\391_20150423.docx" TargetMode="External"/><Relationship Id="rId3" Type="http://schemas.openxmlformats.org/officeDocument/2006/relationships/webSettings" Target="webSettings.xml"/><Relationship Id="rId21" Type="http://schemas.openxmlformats.org/officeDocument/2006/relationships/hyperlink" Target="file:///p:\pprever\2015-16\391_20150129.docx" TargetMode="External"/><Relationship Id="rId7" Type="http://schemas.openxmlformats.org/officeDocument/2006/relationships/hyperlink" Target="file:///h:\SJ%20Archive\2015\01-29-15.docx" TargetMode="External"/><Relationship Id="rId12" Type="http://schemas.openxmlformats.org/officeDocument/2006/relationships/hyperlink" Target="file:///h:\SJ%20Archive\2015\03-19-15.docx" TargetMode="External"/><Relationship Id="rId17" Type="http://schemas.openxmlformats.org/officeDocument/2006/relationships/hyperlink" Target="file:///h:\HJ%20Archive\2015\04-28-15.docx" TargetMode="External"/><Relationship Id="rId25" Type="http://schemas.openxmlformats.org/officeDocument/2006/relationships/hyperlink" Target="file:///p:\pprever\2015-16\391_20150319.docx" TargetMode="External"/><Relationship Id="rId2" Type="http://schemas.openxmlformats.org/officeDocument/2006/relationships/settings" Target="settings.xml"/><Relationship Id="rId16" Type="http://schemas.openxmlformats.org/officeDocument/2006/relationships/hyperlink" Target="file:///h:\HJ%20Archive\2015\04-28-15.docx" TargetMode="External"/><Relationship Id="rId20" Type="http://schemas.openxmlformats.org/officeDocument/2006/relationships/hyperlink" Target="http://www.scstatehouse.gov/billsearch.php?billnumbers=391&amp;session=121&amp;summary=B"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1-29-15.docx" TargetMode="External"/><Relationship Id="rId11" Type="http://schemas.openxmlformats.org/officeDocument/2006/relationships/hyperlink" Target="file:///h:\SJ%20Archive\2015\03-18-15.docx" TargetMode="External"/><Relationship Id="rId24" Type="http://schemas.openxmlformats.org/officeDocument/2006/relationships/hyperlink" Target="file:///p:\pprever\2015-16\391_20150318.docx" TargetMode="External"/><Relationship Id="rId5" Type="http://schemas.openxmlformats.org/officeDocument/2006/relationships/endnotes" Target="endnotes.xml"/><Relationship Id="rId15" Type="http://schemas.openxmlformats.org/officeDocument/2006/relationships/hyperlink" Target="file:///h:\HJ%20Archive\2015\04-23-15.docx" TargetMode="External"/><Relationship Id="rId23" Type="http://schemas.openxmlformats.org/officeDocument/2006/relationships/hyperlink" Target="file:///p:\pprever\2015-16\391_20150313.docx" TargetMode="External"/><Relationship Id="rId28" Type="http://schemas.openxmlformats.org/officeDocument/2006/relationships/footer" Target="footer2.xml"/><Relationship Id="rId10" Type="http://schemas.openxmlformats.org/officeDocument/2006/relationships/hyperlink" Target="file:///h:\SJ%20Archive\2015\03-18-15.docx" TargetMode="External"/><Relationship Id="rId19" Type="http://schemas.openxmlformats.org/officeDocument/2006/relationships/hyperlink" Target="file:///h:\HJ%20Archive\2015\04-29-15.docx" TargetMode="External"/><Relationship Id="rId4" Type="http://schemas.openxmlformats.org/officeDocument/2006/relationships/footnotes" Target="footnotes.xml"/><Relationship Id="rId9" Type="http://schemas.openxmlformats.org/officeDocument/2006/relationships/hyperlink" Target="file:///h:\SJ%20Archive\2015\03-18-15.docx" TargetMode="External"/><Relationship Id="rId14" Type="http://schemas.openxmlformats.org/officeDocument/2006/relationships/hyperlink" Target="file:///h:\HJ%20Archive\2015\03-24-15.docx" TargetMode="External"/><Relationship Id="rId22" Type="http://schemas.openxmlformats.org/officeDocument/2006/relationships/hyperlink" Target="file:///p:\pprever\2015-16\391_201503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391: In-state tuition rates for military personnel - South Carolina Legislature Online</dc:title>
  <dc:subject/>
  <dc:creator>nancylee</dc:creator>
  <cp:keywords/>
  <dc:description/>
  <cp:lastModifiedBy>N Cumfer</cp:lastModifiedBy>
  <cp:revision>2</cp:revision>
  <cp:lastPrinted>2015-04-29T20:27:00Z</cp:lastPrinted>
  <dcterms:created xsi:type="dcterms:W3CDTF">2016-12-02T17:01:00Z</dcterms:created>
  <dcterms:modified xsi:type="dcterms:W3CDTF">2016-12-02T17:01:00Z</dcterms:modified>
</cp:coreProperties>
</file>