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F8" w:rsidRDefault="008E51F8" w:rsidP="008E51F8">
      <w:pPr>
        <w:widowControl w:val="0"/>
        <w:jc w:val="center"/>
      </w:pPr>
      <w:bookmarkStart w:id="0" w:name="_GoBack"/>
      <w:bookmarkEnd w:id="0"/>
      <w:r w:rsidRPr="008E51F8">
        <w:rPr>
          <w:b/>
        </w:rPr>
        <w:t>South Carolina General Assembly</w:t>
      </w:r>
    </w:p>
    <w:p w:rsidR="008E51F8" w:rsidRDefault="008E51F8" w:rsidP="008E51F8">
      <w:pPr>
        <w:widowControl w:val="0"/>
        <w:jc w:val="center"/>
      </w:pPr>
      <w:r>
        <w:t>121st Session, 2015-2016</w:t>
      </w:r>
    </w:p>
    <w:p w:rsidR="008E51F8" w:rsidRDefault="008E51F8" w:rsidP="008E51F8">
      <w:pPr>
        <w:widowControl w:val="0"/>
        <w:jc w:val="left"/>
      </w:pPr>
    </w:p>
    <w:p w:rsidR="008E51F8" w:rsidRDefault="008E51F8" w:rsidP="008E51F8">
      <w:pPr>
        <w:widowControl w:val="0"/>
        <w:jc w:val="left"/>
        <w:rPr>
          <w:b/>
        </w:rPr>
      </w:pPr>
      <w:r w:rsidRPr="008E51F8">
        <w:rPr>
          <w:b/>
        </w:rPr>
        <w:t>H. 4036</w:t>
      </w:r>
    </w:p>
    <w:p w:rsidR="008E51F8" w:rsidRDefault="008E51F8" w:rsidP="008E51F8">
      <w:pPr>
        <w:widowControl w:val="0"/>
        <w:jc w:val="left"/>
        <w:rPr>
          <w:b/>
        </w:rPr>
      </w:pPr>
    </w:p>
    <w:p w:rsidR="008E51F8" w:rsidRDefault="008E51F8" w:rsidP="008E51F8">
      <w:pPr>
        <w:widowControl w:val="0"/>
        <w:jc w:val="left"/>
      </w:pPr>
      <w:r w:rsidRPr="008E51F8">
        <w:rPr>
          <w:b/>
        </w:rPr>
        <w:t>STATUS INFORMATION</w:t>
      </w:r>
    </w:p>
    <w:p w:rsidR="008E51F8" w:rsidRDefault="008E51F8" w:rsidP="008E51F8">
      <w:pPr>
        <w:widowControl w:val="0"/>
        <w:jc w:val="left"/>
      </w:pPr>
    </w:p>
    <w:p w:rsidR="008E51F8" w:rsidRDefault="008E51F8" w:rsidP="008E51F8">
      <w:pPr>
        <w:widowControl w:val="0"/>
        <w:jc w:val="left"/>
      </w:pPr>
      <w:r>
        <w:t>General Bill</w:t>
      </w:r>
    </w:p>
    <w:p w:rsidR="008E51F8" w:rsidRDefault="008E51F8" w:rsidP="008E51F8">
      <w:pPr>
        <w:widowControl w:val="0"/>
        <w:jc w:val="left"/>
      </w:pPr>
      <w:r>
        <w:t>Sponsors: Rep. Willis</w:t>
      </w:r>
    </w:p>
    <w:p w:rsidR="008E51F8" w:rsidRDefault="008E51F8" w:rsidP="008E51F8">
      <w:pPr>
        <w:widowControl w:val="0"/>
        <w:jc w:val="left"/>
      </w:pPr>
      <w:r>
        <w:t>Document Path: l:\council\bills\dka\3094sa15.docx</w:t>
      </w:r>
    </w:p>
    <w:p w:rsidR="008E51F8" w:rsidRDefault="008E51F8" w:rsidP="008E51F8">
      <w:pPr>
        <w:widowControl w:val="0"/>
        <w:jc w:val="left"/>
      </w:pPr>
    </w:p>
    <w:p w:rsidR="008E51F8" w:rsidRDefault="008E51F8" w:rsidP="008E51F8">
      <w:pPr>
        <w:widowControl w:val="0"/>
        <w:jc w:val="left"/>
      </w:pPr>
      <w:r>
        <w:t>Introduced in the House on April 22, 2015</w:t>
      </w:r>
    </w:p>
    <w:p w:rsidR="008E51F8" w:rsidRDefault="008E51F8" w:rsidP="008E51F8">
      <w:pPr>
        <w:widowControl w:val="0"/>
        <w:jc w:val="left"/>
      </w:pPr>
      <w:r>
        <w:t xml:space="preserve">Currently residing in the House Committee on </w:t>
      </w:r>
      <w:r w:rsidRPr="008E51F8">
        <w:rPr>
          <w:b/>
        </w:rPr>
        <w:t>Ways and Means</w:t>
      </w:r>
    </w:p>
    <w:p w:rsidR="008E51F8" w:rsidRDefault="008E51F8" w:rsidP="008E51F8">
      <w:pPr>
        <w:widowControl w:val="0"/>
        <w:jc w:val="left"/>
      </w:pPr>
    </w:p>
    <w:p w:rsidR="008E51F8" w:rsidRDefault="008E51F8" w:rsidP="008E51F8">
      <w:pPr>
        <w:widowControl w:val="0"/>
        <w:jc w:val="left"/>
      </w:pPr>
      <w:r>
        <w:t xml:space="preserve">Summary: </w:t>
      </w:r>
      <w:r w:rsidR="002640A9">
        <w:t>Hybrid Electric vehicle tax credit</w:t>
      </w:r>
    </w:p>
    <w:p w:rsidR="008E51F8" w:rsidRDefault="008E51F8" w:rsidP="008E51F8">
      <w:pPr>
        <w:widowControl w:val="0"/>
        <w:jc w:val="left"/>
      </w:pPr>
    </w:p>
    <w:p w:rsidR="008E51F8" w:rsidRDefault="008E51F8" w:rsidP="008E51F8">
      <w:pPr>
        <w:widowControl w:val="0"/>
        <w:jc w:val="left"/>
      </w:pPr>
    </w:p>
    <w:p w:rsidR="008E51F8" w:rsidRDefault="008E51F8" w:rsidP="008E51F8">
      <w:pPr>
        <w:widowControl w:val="0"/>
        <w:tabs>
          <w:tab w:val="center" w:pos="590"/>
          <w:tab w:val="center" w:pos="1440"/>
          <w:tab w:val="left" w:pos="1872"/>
          <w:tab w:val="left" w:pos="9187"/>
        </w:tabs>
        <w:jc w:val="left"/>
      </w:pPr>
      <w:r w:rsidRPr="008E51F8">
        <w:rPr>
          <w:b/>
        </w:rPr>
        <w:t>HISTORY OF LEGISLATIVE ACTIONS</w:t>
      </w:r>
    </w:p>
    <w:p w:rsidR="008E51F8" w:rsidRDefault="008E51F8" w:rsidP="008E51F8">
      <w:pPr>
        <w:widowControl w:val="0"/>
        <w:tabs>
          <w:tab w:val="center" w:pos="590"/>
          <w:tab w:val="center" w:pos="1440"/>
          <w:tab w:val="left" w:pos="1872"/>
          <w:tab w:val="left" w:pos="9187"/>
        </w:tabs>
        <w:jc w:val="left"/>
      </w:pPr>
    </w:p>
    <w:p w:rsidR="008E51F8" w:rsidRPr="008E51F8" w:rsidRDefault="008E51F8" w:rsidP="008E51F8">
      <w:pPr>
        <w:widowControl w:val="0"/>
        <w:tabs>
          <w:tab w:val="center" w:pos="590"/>
          <w:tab w:val="center" w:pos="1440"/>
          <w:tab w:val="left" w:pos="1872"/>
          <w:tab w:val="left" w:pos="9187"/>
        </w:tabs>
        <w:jc w:val="left"/>
      </w:pPr>
      <w:r w:rsidRPr="008E51F8">
        <w:rPr>
          <w:u w:val="single"/>
        </w:rPr>
        <w:tab/>
        <w:t>Date</w:t>
      </w:r>
      <w:r w:rsidRPr="008E51F8">
        <w:rPr>
          <w:u w:val="single"/>
        </w:rPr>
        <w:tab/>
        <w:t>Body</w:t>
      </w:r>
      <w:r w:rsidRPr="008E51F8">
        <w:rPr>
          <w:u w:val="single"/>
        </w:rPr>
        <w:tab/>
        <w:t>Action Description with journal page number</w:t>
      </w:r>
      <w:r w:rsidRPr="008E51F8">
        <w:rPr>
          <w:u w:val="single"/>
        </w:rPr>
        <w:tab/>
      </w:r>
    </w:p>
    <w:p w:rsidR="00571649" w:rsidRDefault="00571649" w:rsidP="00571649">
      <w:pPr>
        <w:widowControl w:val="0"/>
        <w:tabs>
          <w:tab w:val="right" w:pos="1008"/>
          <w:tab w:val="left" w:pos="1152"/>
          <w:tab w:val="left" w:pos="1872"/>
          <w:tab w:val="left" w:pos="9187"/>
        </w:tabs>
        <w:ind w:left="2088" w:hanging="2088"/>
        <w:jc w:val="left"/>
      </w:pPr>
      <w:r>
        <w:tab/>
        <w:t>4/22/2015</w:t>
      </w:r>
      <w:r>
        <w:tab/>
        <w:t>House</w:t>
      </w:r>
      <w:r>
        <w:tab/>
      </w:r>
      <w:r w:rsidRPr="00FE00E0">
        <w:t>Introduced and read first time (</w:t>
      </w:r>
      <w:hyperlink r:id="rId7" w:history="1">
        <w:r w:rsidRPr="00BB7793">
          <w:rPr>
            <w:rStyle w:val="Hyperlink"/>
          </w:rPr>
          <w:t>House Journal</w:t>
        </w:r>
        <w:r w:rsidRPr="00BB7793">
          <w:rPr>
            <w:rStyle w:val="Hyperlink"/>
          </w:rPr>
          <w:noBreakHyphen/>
          <w:t>page 17</w:t>
        </w:r>
      </w:hyperlink>
      <w:r w:rsidRPr="00FE00E0">
        <w:t>)</w:t>
      </w:r>
    </w:p>
    <w:p w:rsidR="00571649" w:rsidRDefault="00571649" w:rsidP="00571649">
      <w:pPr>
        <w:widowControl w:val="0"/>
        <w:tabs>
          <w:tab w:val="right" w:pos="1008"/>
          <w:tab w:val="left" w:pos="1152"/>
          <w:tab w:val="left" w:pos="1872"/>
          <w:tab w:val="left" w:pos="9187"/>
        </w:tabs>
        <w:ind w:left="2088" w:hanging="2088"/>
        <w:jc w:val="left"/>
      </w:pPr>
      <w:r>
        <w:tab/>
        <w:t>4/22/2015</w:t>
      </w:r>
      <w:r>
        <w:tab/>
        <w:t>House</w:t>
      </w:r>
      <w:r>
        <w:tab/>
      </w:r>
      <w:r w:rsidRPr="00FE00E0">
        <w:t>Referred to</w:t>
      </w:r>
      <w:r>
        <w:t xml:space="preserve"> Committee on </w:t>
      </w:r>
      <w:r w:rsidRPr="00FE00E0">
        <w:rPr>
          <w:b/>
        </w:rPr>
        <w:t>Ways and Means</w:t>
      </w:r>
      <w:r>
        <w:t xml:space="preserve"> </w:t>
      </w:r>
      <w:r w:rsidRPr="00FE00E0">
        <w:t>(</w:t>
      </w:r>
      <w:hyperlink r:id="rId8" w:history="1">
        <w:r w:rsidRPr="00BB7793">
          <w:rPr>
            <w:rStyle w:val="Hyperlink"/>
          </w:rPr>
          <w:t>House Journal</w:t>
        </w:r>
        <w:r w:rsidRPr="00BB7793">
          <w:rPr>
            <w:rStyle w:val="Hyperlink"/>
          </w:rPr>
          <w:noBreakHyphen/>
          <w:t>page 17</w:t>
        </w:r>
      </w:hyperlink>
      <w:r w:rsidRPr="00FE00E0">
        <w:t>)</w:t>
      </w:r>
    </w:p>
    <w:p w:rsidR="00571649" w:rsidRDefault="00571649" w:rsidP="00571649">
      <w:pPr>
        <w:widowControl w:val="0"/>
        <w:tabs>
          <w:tab w:val="right" w:pos="1008"/>
          <w:tab w:val="left" w:pos="1152"/>
          <w:tab w:val="left" w:pos="1872"/>
          <w:tab w:val="left" w:pos="9187"/>
        </w:tabs>
        <w:ind w:left="2088" w:hanging="2088"/>
        <w:jc w:val="left"/>
      </w:pPr>
    </w:p>
    <w:p w:rsidR="008E51F8" w:rsidRDefault="008E51F8" w:rsidP="008E51F8">
      <w:pPr>
        <w:widowControl w:val="0"/>
        <w:tabs>
          <w:tab w:val="right" w:pos="1008"/>
          <w:tab w:val="left" w:pos="1152"/>
          <w:tab w:val="left" w:pos="1872"/>
          <w:tab w:val="left" w:pos="9187"/>
        </w:tabs>
        <w:ind w:left="2088" w:hanging="2088"/>
        <w:jc w:val="left"/>
      </w:pPr>
      <w:r>
        <w:t xml:space="preserve">View the latest </w:t>
      </w:r>
      <w:hyperlink r:id="rId9" w:history="1">
        <w:r w:rsidRPr="008E51F8">
          <w:rPr>
            <w:rStyle w:val="Hyperlink"/>
          </w:rPr>
          <w:t>legislative information</w:t>
        </w:r>
      </w:hyperlink>
      <w:r>
        <w:t xml:space="preserve"> at the website</w:t>
      </w:r>
    </w:p>
    <w:p w:rsidR="008E51F8" w:rsidRDefault="008E51F8" w:rsidP="008E51F8">
      <w:pPr>
        <w:widowControl w:val="0"/>
        <w:tabs>
          <w:tab w:val="right" w:pos="1008"/>
          <w:tab w:val="left" w:pos="1152"/>
          <w:tab w:val="left" w:pos="1872"/>
          <w:tab w:val="left" w:pos="9187"/>
        </w:tabs>
        <w:ind w:left="2088" w:hanging="2088"/>
        <w:jc w:val="left"/>
      </w:pPr>
    </w:p>
    <w:p w:rsidR="008E51F8" w:rsidRPr="008E51F8" w:rsidRDefault="008E51F8" w:rsidP="008E51F8">
      <w:pPr>
        <w:widowControl w:val="0"/>
        <w:tabs>
          <w:tab w:val="right" w:pos="1008"/>
          <w:tab w:val="left" w:pos="1152"/>
          <w:tab w:val="left" w:pos="1872"/>
          <w:tab w:val="left" w:pos="9187"/>
        </w:tabs>
        <w:ind w:left="2088" w:hanging="2088"/>
        <w:jc w:val="left"/>
      </w:pPr>
    </w:p>
    <w:p w:rsidR="008E51F8" w:rsidRDefault="008E51F8" w:rsidP="008E51F8">
      <w:pPr>
        <w:widowControl w:val="0"/>
        <w:jc w:val="left"/>
      </w:pPr>
      <w:r w:rsidRPr="008E51F8">
        <w:rPr>
          <w:b/>
        </w:rPr>
        <w:t>VERSIONS OF THIS BILL</w:t>
      </w:r>
    </w:p>
    <w:p w:rsidR="008E51F8" w:rsidRDefault="008E51F8" w:rsidP="008E51F8">
      <w:pPr>
        <w:widowControl w:val="0"/>
        <w:jc w:val="left"/>
      </w:pPr>
    </w:p>
    <w:p w:rsidR="008E51F8" w:rsidRDefault="00BB7793" w:rsidP="008E51F8">
      <w:pPr>
        <w:widowControl w:val="0"/>
        <w:jc w:val="left"/>
      </w:pPr>
      <w:hyperlink r:id="rId10" w:history="1">
        <w:r w:rsidR="008E51F8">
          <w:rPr>
            <w:rStyle w:val="Hyperlink"/>
          </w:rPr>
          <w:t>4/22/2015</w:t>
        </w:r>
      </w:hyperlink>
    </w:p>
    <w:p w:rsidR="008E51F8" w:rsidRDefault="008E51F8" w:rsidP="008E51F8"/>
    <w:p w:rsidR="008E51F8" w:rsidRDefault="008E51F8" w:rsidP="008E51F8">
      <w:pPr>
        <w:sectPr w:rsidR="008E51F8" w:rsidSect="008E51F8">
          <w:pgSz w:w="12240" w:h="15840" w:code="1"/>
          <w:pgMar w:top="1080" w:right="1440" w:bottom="1080" w:left="1440" w:header="720" w:footer="720" w:gutter="0"/>
          <w:cols w:space="720"/>
          <w:noEndnote/>
          <w:docGrid w:linePitch="360"/>
        </w:sectPr>
      </w:pPr>
    </w:p>
    <w:p w:rsidR="00A64C83" w:rsidRDefault="00A6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0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42FA">
        <w:rPr>
          <w:color w:val="000000" w:themeColor="text1"/>
          <w:u w:color="000000" w:themeColor="text1"/>
        </w:rPr>
        <w:t>TO AMEND THE CODE OF LAWS OF SOUTH CAROLINA, 1976, BY ADDING SECTION 12</w:t>
      </w:r>
      <w:r w:rsidR="00BC0E28">
        <w:rPr>
          <w:color w:val="000000" w:themeColor="text1"/>
          <w:u w:color="000000" w:themeColor="text1"/>
        </w:rPr>
        <w:noBreakHyphen/>
      </w:r>
      <w:r w:rsidRPr="001942FA">
        <w:rPr>
          <w:color w:val="000000" w:themeColor="text1"/>
          <w:u w:color="000000" w:themeColor="text1"/>
        </w:rPr>
        <w:t>6</w:t>
      </w:r>
      <w:r w:rsidR="00BC0E28">
        <w:rPr>
          <w:color w:val="000000" w:themeColor="text1"/>
          <w:u w:color="000000" w:themeColor="text1"/>
        </w:rPr>
        <w:noBreakHyphen/>
      </w:r>
      <w:r w:rsidRPr="001942FA">
        <w:rPr>
          <w:color w:val="000000" w:themeColor="text1"/>
          <w:u w:color="000000" w:themeColor="text1"/>
        </w:rPr>
        <w:t>3378 SO AS TO PROVIDE A FIVE THOUSAND DOLLAR TAX CREDIT FOR THE IN</w:t>
      </w:r>
      <w:r w:rsidR="00BC0E28">
        <w:rPr>
          <w:color w:val="000000" w:themeColor="text1"/>
          <w:u w:color="000000" w:themeColor="text1"/>
        </w:rPr>
        <w:noBreakHyphen/>
      </w:r>
      <w:r w:rsidRPr="001942FA">
        <w:rPr>
          <w:color w:val="000000" w:themeColor="text1"/>
          <w:u w:color="000000" w:themeColor="text1"/>
        </w:rPr>
        <w:t>STATE PURCHASE OR LEASE OF A NEW QUALIFIED HYBRID ELECTRIC VEHICLE OR NEW QUALIFIED BATTERY ELECTRIC VEHICLE AND TO PROVIDE THE PROCESS BY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0D6" w:rsidRDefault="00E97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0D6" w:rsidRDefault="00E97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38" w:rsidRPr="001942FA" w:rsidRDefault="00E970D6"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2438" w:rsidRPr="001942FA">
        <w:rPr>
          <w:color w:val="000000" w:themeColor="text1"/>
          <w:u w:color="000000" w:themeColor="text1"/>
        </w:rPr>
        <w:t>Article 25, Chapter 6, Title 12 of the 1976 Code is amended by adding:</w:t>
      </w:r>
    </w:p>
    <w:p w:rsidR="00E52438"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“Section 12</w:t>
      </w:r>
      <w:r w:rsidR="00BC0E28">
        <w:rPr>
          <w:color w:val="000000" w:themeColor="text1"/>
          <w:u w:color="000000" w:themeColor="text1"/>
        </w:rPr>
        <w:noBreakHyphen/>
      </w:r>
      <w:r w:rsidRPr="001942FA">
        <w:rPr>
          <w:color w:val="000000" w:themeColor="text1"/>
          <w:u w:color="000000" w:themeColor="text1"/>
        </w:rPr>
        <w:t>6</w:t>
      </w:r>
      <w:r w:rsidR="00BC0E28">
        <w:rPr>
          <w:color w:val="000000" w:themeColor="text1"/>
          <w:u w:color="000000" w:themeColor="text1"/>
        </w:rPr>
        <w:noBreakHyphen/>
      </w:r>
      <w:r w:rsidRPr="001942FA">
        <w:rPr>
          <w:color w:val="000000" w:themeColor="text1"/>
          <w:u w:color="000000" w:themeColor="text1"/>
        </w:rPr>
        <w:t>3378.</w:t>
      </w:r>
      <w:r w:rsidRPr="001942FA">
        <w:rPr>
          <w:color w:val="000000" w:themeColor="text1"/>
          <w:u w:color="000000" w:themeColor="text1"/>
        </w:rPr>
        <w:tab/>
        <w:t>(A)</w:t>
      </w:r>
      <w:r w:rsidRPr="001942FA">
        <w:rPr>
          <w:color w:val="000000" w:themeColor="text1"/>
          <w:u w:color="000000" w:themeColor="text1"/>
        </w:rPr>
        <w:tab/>
        <w:t>For taxable years beginning after December 31, 2015, a South Carolina resident taxpayer is allowed a five thousand dollar nonrefundable tax credit against the income tax imposed pursuant to this chapter for the in</w:t>
      </w:r>
      <w:r w:rsidR="00BC0E28">
        <w:rPr>
          <w:color w:val="000000" w:themeColor="text1"/>
          <w:u w:color="000000" w:themeColor="text1"/>
        </w:rPr>
        <w:noBreakHyphen/>
      </w:r>
      <w:r w:rsidRPr="001942FA">
        <w:rPr>
          <w:color w:val="000000" w:themeColor="text1"/>
          <w:u w:color="000000" w:themeColor="text1"/>
        </w:rPr>
        <w:t>state purchase or lease of a new qualified hybrid electric vehicle or new battery electric vehicle.  In order to qualify for the credit, the original use of the vehicle must commence with the taxpayer and the vehicle must be acquired for use or lease by the taxpayer and not for resale.</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(B)</w:t>
      </w:r>
      <w:r w:rsidRPr="001942FA">
        <w:rPr>
          <w:color w:val="000000" w:themeColor="text1"/>
          <w:u w:color="000000" w:themeColor="text1"/>
        </w:rPr>
        <w:tab/>
        <w:t>A qualified hybrid electric vehicle is a vehicle that:</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(1)</w:t>
      </w:r>
      <w:r w:rsidRPr="001942FA">
        <w:rPr>
          <w:color w:val="000000" w:themeColor="text1"/>
          <w:u w:color="000000" w:themeColor="text1"/>
        </w:rPr>
        <w:tab/>
        <w:t>is a light duty vehicle listed in the hybrid electric vehicle section of the most recent edition of the United States Department of Energy Clean Cities Vehicle Buyer</w:t>
      </w:r>
      <w:r w:rsidR="00BC0E28" w:rsidRPr="00BC0E28">
        <w:rPr>
          <w:color w:val="000000" w:themeColor="text1"/>
          <w:u w:color="000000" w:themeColor="text1"/>
        </w:rPr>
        <w:t>’</w:t>
      </w:r>
      <w:r w:rsidRPr="001942FA">
        <w:rPr>
          <w:color w:val="000000" w:themeColor="text1"/>
          <w:u w:color="000000" w:themeColor="text1"/>
        </w:rPr>
        <w:t>s Guide or is a medium or heavy duty vehicle listed in the hybrid propulsion system manufacturers section of the U.S. Department of Energy Clean Cities Guide to Alternative Fuel and Advanced Medium and Heavy Duty Vehicles;</w:t>
      </w:r>
    </w:p>
    <w:p w:rsidR="00BC0E28"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(2)</w:t>
      </w:r>
      <w:r w:rsidRPr="001942FA">
        <w:rPr>
          <w:color w:val="000000" w:themeColor="text1"/>
          <w:u w:color="000000" w:themeColor="text1"/>
        </w:rPr>
        <w:tab/>
        <w:t>draws propulsion energy from onboard sources of stored energy which are both</w:t>
      </w:r>
      <w:r w:rsidR="00BC0E28">
        <w:rPr>
          <w:color w:val="000000" w:themeColor="text1"/>
          <w:u w:color="000000" w:themeColor="text1"/>
        </w:rPr>
        <w:t>:</w:t>
      </w:r>
    </w:p>
    <w:p w:rsidR="00BC0E28" w:rsidRDefault="00BC0E2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E52438" w:rsidRPr="001942FA">
        <w:rPr>
          <w:color w:val="000000" w:themeColor="text1"/>
          <w:u w:color="000000" w:themeColor="text1"/>
        </w:rPr>
        <w:t>(</w:t>
      </w:r>
      <w:r>
        <w:rPr>
          <w:color w:val="000000" w:themeColor="text1"/>
          <w:u w:color="000000" w:themeColor="text1"/>
        </w:rPr>
        <w:t>a</w:t>
      </w:r>
      <w:r w:rsidR="00E52438" w:rsidRPr="001942FA">
        <w:rPr>
          <w:color w:val="000000" w:themeColor="text1"/>
          <w:u w:color="000000" w:themeColor="text1"/>
        </w:rPr>
        <w:t>)</w:t>
      </w:r>
      <w:r>
        <w:rPr>
          <w:color w:val="000000" w:themeColor="text1"/>
          <w:u w:color="000000" w:themeColor="text1"/>
        </w:rPr>
        <w:tab/>
      </w:r>
      <w:r w:rsidR="00E52438" w:rsidRPr="001942FA">
        <w:rPr>
          <w:color w:val="000000" w:themeColor="text1"/>
          <w:u w:color="000000" w:themeColor="text1"/>
        </w:rPr>
        <w:t>an internal combustion or heat engine using consumable fuel</w:t>
      </w:r>
      <w:r>
        <w:rPr>
          <w:color w:val="000000" w:themeColor="text1"/>
          <w:u w:color="000000" w:themeColor="text1"/>
        </w:rPr>
        <w:t>;</w:t>
      </w:r>
      <w:r w:rsidR="00E52438" w:rsidRPr="001942FA">
        <w:rPr>
          <w:color w:val="000000" w:themeColor="text1"/>
          <w:u w:color="000000" w:themeColor="text1"/>
        </w:rPr>
        <w:t xml:space="preserve"> and</w:t>
      </w:r>
    </w:p>
    <w:p w:rsidR="00E52438" w:rsidRPr="001942FA" w:rsidRDefault="00BC0E2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52438" w:rsidRPr="001942FA">
        <w:rPr>
          <w:color w:val="000000" w:themeColor="text1"/>
          <w:u w:color="000000" w:themeColor="text1"/>
        </w:rPr>
        <w:t>(</w:t>
      </w:r>
      <w:r>
        <w:rPr>
          <w:color w:val="000000" w:themeColor="text1"/>
          <w:u w:color="000000" w:themeColor="text1"/>
        </w:rPr>
        <w:t>b</w:t>
      </w:r>
      <w:r w:rsidR="00E52438" w:rsidRPr="001942FA">
        <w:rPr>
          <w:color w:val="000000" w:themeColor="text1"/>
          <w:u w:color="000000" w:themeColor="text1"/>
        </w:rPr>
        <w:t>)</w:t>
      </w:r>
      <w:r>
        <w:rPr>
          <w:color w:val="000000" w:themeColor="text1"/>
          <w:u w:color="000000" w:themeColor="text1"/>
        </w:rPr>
        <w:tab/>
      </w:r>
      <w:r w:rsidR="00E52438" w:rsidRPr="001942FA">
        <w:rPr>
          <w:color w:val="000000" w:themeColor="text1"/>
          <w:u w:color="000000" w:themeColor="text1"/>
        </w:rPr>
        <w:t>a rechargeable energy storage system; and</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(3)</w:t>
      </w:r>
      <w:r w:rsidRPr="001942FA">
        <w:rPr>
          <w:color w:val="000000" w:themeColor="text1"/>
          <w:u w:color="000000" w:themeColor="text1"/>
        </w:rPr>
        <w:tab/>
        <w:t>does not have an external electrical plug connector that directly charges a battery or energy storage system.</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(C)</w:t>
      </w:r>
      <w:r w:rsidRPr="001942FA">
        <w:rPr>
          <w:color w:val="000000" w:themeColor="text1"/>
          <w:u w:color="000000" w:themeColor="text1"/>
        </w:rPr>
        <w:tab/>
        <w:t>A qualified battery electric vehicle is a vehicle that is:</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(1)</w:t>
      </w:r>
      <w:r w:rsidRPr="001942F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(2)</w:t>
      </w:r>
      <w:r w:rsidRPr="001942FA">
        <w:rPr>
          <w:color w:val="000000" w:themeColor="text1"/>
          <w:u w:color="000000" w:themeColor="text1"/>
        </w:rPr>
        <w:tab/>
        <w:t>procured as a battery electric vehicle from an original equipment manufacturer or is converted to operate as a battery electric vehicle by a third party.</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(D)</w:t>
      </w:r>
      <w:r w:rsidRPr="001942FA">
        <w:rPr>
          <w:color w:val="000000" w:themeColor="text1"/>
          <w:u w:color="000000" w:themeColor="text1"/>
        </w:rPr>
        <w:tab/>
        <w:t xml:space="preserve">The credit allowed by this section may be carried forward for five years.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(E)</w:t>
      </w:r>
      <w:r w:rsidRPr="001942FA">
        <w:rPr>
          <w:color w:val="000000" w:themeColor="text1"/>
          <w:u w:color="000000" w:themeColor="text1"/>
        </w:rPr>
        <w:tab/>
        <w:t xml:space="preserve">The credit allowed by this section for all qualified hybrid electric vehicles and all qualified battery electric vehicles is not allowed for purchases or conversions made after December 31, 2018.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(F)</w:t>
      </w:r>
      <w:r w:rsidRPr="001942FA">
        <w:rPr>
          <w:color w:val="000000" w:themeColor="text1"/>
          <w:u w:color="000000" w:themeColor="text1"/>
        </w:rPr>
        <w:tab/>
        <w:t>A taxpayer who claims a credit for a qualified vehicle pursuant to this section may not claim any additional credits for the same qualified vehicle.</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(G)</w:t>
      </w:r>
      <w:r w:rsidRPr="001942FA">
        <w:rPr>
          <w:color w:val="000000" w:themeColor="text1"/>
          <w:u w:color="000000" w:themeColor="text1"/>
        </w:rPr>
        <w:tab/>
        <w:t>Notwithstanding the credit amount allowed pursuant to this section, for a tax year all claims made pursuant to this section for all qualified vehicles must not exceed nine hundred and fifty thousand dollars and must apply to eligible claimants on a first</w:t>
      </w:r>
      <w:r w:rsidR="00BC0E28">
        <w:rPr>
          <w:color w:val="000000" w:themeColor="text1"/>
          <w:u w:color="000000" w:themeColor="text1"/>
        </w:rPr>
        <w:noBreakHyphen/>
      </w:r>
      <w:r w:rsidRPr="001942FA">
        <w:rPr>
          <w:color w:val="000000" w:themeColor="text1"/>
          <w:u w:color="000000" w:themeColor="text1"/>
        </w:rPr>
        <w:t>come, first</w:t>
      </w:r>
      <w:r w:rsidR="00BC0E28">
        <w:rPr>
          <w:color w:val="000000" w:themeColor="text1"/>
          <w:u w:color="000000" w:themeColor="text1"/>
        </w:rPr>
        <w:noBreakHyphen/>
      </w:r>
      <w:r w:rsidRPr="001942FA">
        <w:rPr>
          <w:color w:val="000000" w:themeColor="text1"/>
          <w:u w:color="000000" w:themeColor="text1"/>
        </w:rPr>
        <w:t>served basis as determined by the Department of Revenue in a manner it prescribes until the total allowable credits for the tax year are exhausted.”</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0D6"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2FA">
        <w:rPr>
          <w:color w:val="000000" w:themeColor="text1"/>
          <w:u w:color="000000" w:themeColor="text1"/>
        </w:rPr>
        <w:t>SECTION</w:t>
      </w:r>
      <w:r>
        <w:rPr>
          <w:color w:val="000000" w:themeColor="text1"/>
          <w:u w:color="000000" w:themeColor="text1"/>
        </w:rPr>
        <w:tab/>
      </w:r>
      <w:r w:rsidRPr="001942FA">
        <w:rPr>
          <w:color w:val="000000" w:themeColor="text1"/>
          <w:u w:color="000000" w:themeColor="text1"/>
        </w:rPr>
        <w:t>2.</w:t>
      </w:r>
      <w:r>
        <w:rPr>
          <w:color w:val="000000" w:themeColor="text1"/>
          <w:u w:color="000000" w:themeColor="text1"/>
        </w:rPr>
        <w:tab/>
      </w:r>
      <w:r w:rsidRPr="001942FA">
        <w:rPr>
          <w:color w:val="000000" w:themeColor="text1"/>
          <w:u w:color="000000" w:themeColor="text1"/>
        </w:rPr>
        <w:t>This act takes effect upon approval by the Governor and only applies to purchases made after December 31, 2015.</w:t>
      </w:r>
    </w:p>
    <w:p w:rsidR="00314388" w:rsidRDefault="00BC0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1F8" w:rsidRDefault="008E51F8" w:rsidP="008E51F8">
      <w:pPr>
        <w:suppressAutoHyphens/>
      </w:pPr>
    </w:p>
    <w:sectPr w:rsidR="008E51F8" w:rsidSect="008E51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D6" w:rsidRDefault="00E970D6" w:rsidP="009F0C77">
      <w:r>
        <w:separator/>
      </w:r>
    </w:p>
  </w:endnote>
  <w:endnote w:type="continuationSeparator" w:id="0">
    <w:p w:rsidR="00E970D6" w:rsidRDefault="00E97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D20C6D-0D5E-4C92-A50B-1F2AECACC971}"/>
    <w:embedBold r:id="rId2" w:fontKey="{EF9479E7-A44D-4C83-84A1-BD7DCB1426F7}"/>
  </w:font>
  <w:font w:name="Calibri">
    <w:panose1 w:val="020F0502020204030204"/>
    <w:charset w:val="00"/>
    <w:family w:val="swiss"/>
    <w:pitch w:val="variable"/>
    <w:sig w:usb0="E00002FF" w:usb1="4000ACFF" w:usb2="00000001" w:usb3="00000000" w:csb0="0000019F" w:csb1="00000000"/>
    <w:embedRegular r:id="rId3" w:fontKey="{F4C60EE5-9A73-42F3-BE1E-23BC0EBF26FE}"/>
  </w:font>
  <w:font w:name="Cambria">
    <w:panose1 w:val="02040503050406030204"/>
    <w:charset w:val="00"/>
    <w:family w:val="roman"/>
    <w:pitch w:val="variable"/>
    <w:sig w:usb0="E00002FF" w:usb1="400004FF" w:usb2="00000000" w:usb3="00000000" w:csb0="0000019F" w:csb1="00000000"/>
    <w:embedRegular r:id="rId4" w:fontKey="{8F73A9DA-0465-4FC2-BE60-E53D9C529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F8" w:rsidRPr="00A64C83" w:rsidRDefault="008E51F8" w:rsidP="00A64C83">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sidR="00BB77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D6" w:rsidRDefault="00E970D6" w:rsidP="009F0C77">
      <w:r>
        <w:separator/>
      </w:r>
    </w:p>
  </w:footnote>
  <w:footnote w:type="continuationSeparator" w:id="0">
    <w:p w:rsidR="00E970D6" w:rsidRDefault="00E97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4SA15"/>
    <w:docVar w:name="CoverBillType" w:val="b"/>
    <w:docVar w:name="docpath" w:val="L:\Council\bills\DKA\3094SA15.DOCX"/>
    <w:docVar w:name="dvBillNumber" w:val="4036"/>
    <w:docVar w:name="dvBillNumberPrefix" w:val="H. "/>
    <w:docVar w:name="dvOriginalBody" w:val="House"/>
    <w:docVar w:name="dvSteno" w:val="DKA"/>
    <w:docVar w:name="NameofBody" w:val="h"/>
    <w:docVar w:name="vgroup2" w:val="Council"/>
  </w:docVars>
  <w:rsids>
    <w:rsidRoot w:val="00E970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0A9"/>
    <w:rsid w:val="00284AAE"/>
    <w:rsid w:val="002A660E"/>
    <w:rsid w:val="002E5912"/>
    <w:rsid w:val="00301B21"/>
    <w:rsid w:val="0031438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5D4"/>
    <w:rsid w:val="005273C6"/>
    <w:rsid w:val="00530A69"/>
    <w:rsid w:val="00545593"/>
    <w:rsid w:val="00571649"/>
    <w:rsid w:val="00577C6C"/>
    <w:rsid w:val="005C2FE2"/>
    <w:rsid w:val="005E2BC9"/>
    <w:rsid w:val="005F5C0D"/>
    <w:rsid w:val="00605102"/>
    <w:rsid w:val="006215AA"/>
    <w:rsid w:val="006913C9"/>
    <w:rsid w:val="0069470D"/>
    <w:rsid w:val="00734F00"/>
    <w:rsid w:val="007A70AE"/>
    <w:rsid w:val="008362E8"/>
    <w:rsid w:val="008A1768"/>
    <w:rsid w:val="008E51F8"/>
    <w:rsid w:val="008F0F33"/>
    <w:rsid w:val="008F4429"/>
    <w:rsid w:val="0094021A"/>
    <w:rsid w:val="009B44AF"/>
    <w:rsid w:val="009C6A0B"/>
    <w:rsid w:val="009F0C77"/>
    <w:rsid w:val="009F4DD1"/>
    <w:rsid w:val="00A41684"/>
    <w:rsid w:val="00A64C83"/>
    <w:rsid w:val="00A64E80"/>
    <w:rsid w:val="00A72BCD"/>
    <w:rsid w:val="00A741D9"/>
    <w:rsid w:val="00A833AB"/>
    <w:rsid w:val="00A9741D"/>
    <w:rsid w:val="00AD4B17"/>
    <w:rsid w:val="00B412D4"/>
    <w:rsid w:val="00BB7793"/>
    <w:rsid w:val="00BC0E28"/>
    <w:rsid w:val="00BE3C22"/>
    <w:rsid w:val="00C0345E"/>
    <w:rsid w:val="00C3483A"/>
    <w:rsid w:val="00C74E9D"/>
    <w:rsid w:val="00C82FD3"/>
    <w:rsid w:val="00C92819"/>
    <w:rsid w:val="00CC6B7B"/>
    <w:rsid w:val="00CD2089"/>
    <w:rsid w:val="00D73A67"/>
    <w:rsid w:val="00D970A9"/>
    <w:rsid w:val="00DE3B96"/>
    <w:rsid w:val="00DF3845"/>
    <w:rsid w:val="00E41911"/>
    <w:rsid w:val="00E52438"/>
    <w:rsid w:val="00E92EEF"/>
    <w:rsid w:val="00E970D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FAB8E-F849-4FE5-9947-AB0708B1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5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36_2015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BACE2-A213-412F-99D4-7F678C1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629</Words>
  <Characters>3589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4036: Hybrid Electric vehicle tax credit - South Carolina Legislature Online</dc:title>
  <dc:creator>sharonpair</dc:creator>
  <cp:lastModifiedBy>N Cumfer</cp:lastModifiedBy>
  <cp:revision>2</cp:revision>
  <dcterms:created xsi:type="dcterms:W3CDTF">2016-12-02T18:58:00Z</dcterms:created>
  <dcterms:modified xsi:type="dcterms:W3CDTF">2016-12-02T18:58:00Z</dcterms:modified>
</cp:coreProperties>
</file>