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726A4">
        <w:rPr>
          <w:rFonts w:eastAsia="Times New Roman" w:cs="Times New Roman"/>
          <w:b/>
          <w:szCs w:val="20"/>
        </w:rPr>
        <w:t>South Carolina General Assembly</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26A4">
        <w:rPr>
          <w:rFonts w:eastAsia="Times New Roman" w:cs="Times New Roman"/>
          <w:szCs w:val="20"/>
        </w:rPr>
        <w:t>121st Session, 2015-2016</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6A4" w:rsidRPr="00B726A4" w:rsidRDefault="00D57D5A"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A231, R265, H4548</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6A4">
        <w:rPr>
          <w:rFonts w:eastAsia="Times New Roman" w:cs="Times New Roman"/>
          <w:b/>
          <w:szCs w:val="20"/>
        </w:rPr>
        <w:t>STATUS INFORMATION</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6A4">
        <w:rPr>
          <w:rFonts w:eastAsia="Times New Roman" w:cs="Times New Roman"/>
          <w:szCs w:val="20"/>
        </w:rPr>
        <w:t>General Bill</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6A4">
        <w:rPr>
          <w:rFonts w:eastAsia="Times New Roman" w:cs="Times New Roman"/>
          <w:szCs w:val="20"/>
        </w:rPr>
        <w:t>Sponsors: Reps. Sandifer, Forrester, Toole, Bales, Chumley, Burns, Hardee, Allison, Tallon, Henderson, Clemmons, Sottile, Crosby, V.S. Moss, Jefferson, Yow, Duckworth, H.A. Crawford, Jordan, Fry, Herbkersman, Lowe, Goldfinch, Hixon, Norman, Hiott, Taylor, McCoy, D.C. Moss, Collins, Rutherford, Anderson, Kirby, Pitts, Corley, Ballentine, Hamilton, Finlay, Huggins, Ott, Govan, Riley, Willis, Thayer, Felder, Hicks, Simrill, G.A. Brown, Bedingfield, Stringer, Ryhal, King, Loftis, Hayes, Mack, Rivers, Ridgeway, Clary, Brannon, Atwater, Daning, Bannister, Anthony, McEachern, Mitchell, Erickson, Weeks, Knight, Cole, George, Horne, G.R. Smith, G.M. Smith, Williams, Limehouse, Pope, Gambrell, Alexander, Stavrinakis, Newton, White, Spires, R.L. Brown, Gilliard, Dillard and Gagnon</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6A4">
        <w:rPr>
          <w:rFonts w:eastAsia="Times New Roman" w:cs="Times New Roman"/>
          <w:szCs w:val="20"/>
        </w:rPr>
        <w:t>Document Path: l:\council\bills\nbd\11178cz16.docx</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419B" w:rsidRDefault="00CD419B"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CD419B" w:rsidRDefault="00CD419B"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2016</w:t>
      </w:r>
    </w:p>
    <w:p w:rsidR="00CD419B" w:rsidRDefault="00CD419B"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17, 2016</w:t>
      </w:r>
    </w:p>
    <w:p w:rsidR="00CD419B" w:rsidRDefault="00CD419B"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CD419B" w:rsidRDefault="00CD419B"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CD419B" w:rsidRDefault="00CD419B"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6A4">
        <w:rPr>
          <w:rFonts w:eastAsia="Times New Roman" w:cs="Times New Roman"/>
          <w:szCs w:val="20"/>
        </w:rPr>
        <w:t>Summary: Closing fees on motor vehicle sales contract</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6A4" w:rsidRPr="00B726A4" w:rsidRDefault="00B726A4" w:rsidP="00B726A4">
      <w:pPr>
        <w:widowControl w:val="0"/>
        <w:tabs>
          <w:tab w:val="center" w:pos="590"/>
          <w:tab w:val="center" w:pos="1440"/>
          <w:tab w:val="left" w:pos="1872"/>
          <w:tab w:val="left" w:pos="9187"/>
        </w:tabs>
        <w:rPr>
          <w:rFonts w:eastAsia="Times New Roman" w:cs="Times New Roman"/>
          <w:szCs w:val="20"/>
        </w:rPr>
      </w:pPr>
      <w:r w:rsidRPr="00B726A4">
        <w:rPr>
          <w:rFonts w:eastAsia="Times New Roman" w:cs="Times New Roman"/>
          <w:b/>
          <w:szCs w:val="20"/>
        </w:rPr>
        <w:t>HISTORY OF LEGISLATIVE ACTIONS</w:t>
      </w:r>
    </w:p>
    <w:p w:rsidR="00B726A4" w:rsidRPr="00B726A4" w:rsidRDefault="00B726A4" w:rsidP="00B726A4">
      <w:pPr>
        <w:widowControl w:val="0"/>
        <w:tabs>
          <w:tab w:val="center" w:pos="590"/>
          <w:tab w:val="center" w:pos="1440"/>
          <w:tab w:val="left" w:pos="1872"/>
          <w:tab w:val="left" w:pos="9187"/>
        </w:tabs>
        <w:rPr>
          <w:rFonts w:eastAsia="Times New Roman" w:cs="Times New Roman"/>
          <w:szCs w:val="20"/>
        </w:rPr>
      </w:pPr>
    </w:p>
    <w:p w:rsidR="00B726A4" w:rsidRPr="00B726A4" w:rsidRDefault="00B726A4" w:rsidP="00B726A4">
      <w:pPr>
        <w:widowControl w:val="0"/>
        <w:tabs>
          <w:tab w:val="center" w:pos="590"/>
          <w:tab w:val="center" w:pos="1440"/>
          <w:tab w:val="left" w:pos="1872"/>
          <w:tab w:val="left" w:pos="9187"/>
        </w:tabs>
        <w:rPr>
          <w:rFonts w:eastAsia="Times New Roman" w:cs="Times New Roman"/>
          <w:szCs w:val="20"/>
        </w:rPr>
      </w:pPr>
      <w:r w:rsidRPr="00B726A4">
        <w:rPr>
          <w:rFonts w:eastAsia="Times New Roman" w:cs="Times New Roman"/>
          <w:szCs w:val="20"/>
          <w:u w:val="single"/>
        </w:rPr>
        <w:tab/>
        <w:t>Date</w:t>
      </w:r>
      <w:r w:rsidRPr="00B726A4">
        <w:rPr>
          <w:rFonts w:eastAsia="Times New Roman" w:cs="Times New Roman"/>
          <w:szCs w:val="20"/>
          <w:u w:val="single"/>
        </w:rPr>
        <w:tab/>
        <w:t>Body</w:t>
      </w:r>
      <w:r w:rsidRPr="00B726A4">
        <w:rPr>
          <w:rFonts w:eastAsia="Times New Roman" w:cs="Times New Roman"/>
          <w:szCs w:val="20"/>
          <w:u w:val="single"/>
        </w:rPr>
        <w:tab/>
        <w:t>Action Description with journal page number</w:t>
      </w:r>
      <w:r w:rsidRPr="00B726A4">
        <w:rPr>
          <w:rFonts w:eastAsia="Times New Roman" w:cs="Times New Roman"/>
          <w:szCs w:val="20"/>
          <w:u w:val="single"/>
        </w:rPr>
        <w:tab/>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B57A71">
        <w:rPr>
          <w:rFonts w:cs="Times New Roman"/>
        </w:rPr>
        <w:t>Prefiled</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B57A71">
        <w:rPr>
          <w:rFonts w:cs="Times New Roman"/>
        </w:rPr>
        <w:t xml:space="preserve">Referred to Committee on </w:t>
      </w:r>
      <w:r w:rsidRPr="00B57A71">
        <w:rPr>
          <w:rFonts w:cs="Times New Roman"/>
          <w:b/>
        </w:rPr>
        <w:t>Labor, Commerce and Industry</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57A71">
        <w:rPr>
          <w:rFonts w:cs="Times New Roman"/>
        </w:rPr>
        <w:t>Introduced and read first time (</w:t>
      </w:r>
      <w:hyperlink r:id="rId7" w:history="1">
        <w:r w:rsidRPr="006E5C52">
          <w:rPr>
            <w:rStyle w:val="Hyperlink"/>
            <w:rFonts w:cs="Times New Roman"/>
          </w:rPr>
          <w:t>House Journal</w:t>
        </w:r>
        <w:r w:rsidRPr="006E5C52">
          <w:rPr>
            <w:rStyle w:val="Hyperlink"/>
            <w:rFonts w:cs="Times New Roman"/>
          </w:rPr>
          <w:noBreakHyphen/>
          <w:t>page 102</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57A71">
        <w:rPr>
          <w:rFonts w:cs="Times New Roman"/>
        </w:rPr>
        <w:t>Referred to C</w:t>
      </w:r>
      <w:r>
        <w:rPr>
          <w:rFonts w:cs="Times New Roman"/>
        </w:rPr>
        <w:t xml:space="preserve">ommittee on </w:t>
      </w:r>
      <w:r w:rsidRPr="00B57A71">
        <w:rPr>
          <w:rFonts w:cs="Times New Roman"/>
          <w:b/>
        </w:rPr>
        <w:t>Labor, Commerce and Industry</w:t>
      </w:r>
      <w:r w:rsidRPr="00B57A71">
        <w:rPr>
          <w:rFonts w:cs="Times New Roman"/>
        </w:rPr>
        <w:t xml:space="preserve"> (</w:t>
      </w:r>
      <w:hyperlink r:id="rId8" w:history="1">
        <w:r w:rsidRPr="006E5C52">
          <w:rPr>
            <w:rStyle w:val="Hyperlink"/>
            <w:rFonts w:cs="Times New Roman"/>
          </w:rPr>
          <w:t>House Journal</w:t>
        </w:r>
        <w:r w:rsidRPr="006E5C52">
          <w:rPr>
            <w:rStyle w:val="Hyperlink"/>
            <w:rFonts w:cs="Times New Roman"/>
          </w:rPr>
          <w:noBreakHyphen/>
          <w:t>page 102</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B57A71">
        <w:rPr>
          <w:rFonts w:cs="Times New Roman"/>
        </w:rPr>
        <w:t>Member(s)</w:t>
      </w:r>
      <w:r>
        <w:rPr>
          <w:rFonts w:cs="Times New Roman"/>
        </w:rPr>
        <w:t xml:space="preserve"> request name added as sponsor: </w:t>
      </w:r>
      <w:r w:rsidRPr="00B57A71">
        <w:rPr>
          <w:rFonts w:cs="Times New Roman"/>
        </w:rPr>
        <w:t>Clemmons, Sottil</w:t>
      </w:r>
      <w:r>
        <w:rPr>
          <w:rFonts w:cs="Times New Roman"/>
        </w:rPr>
        <w:t xml:space="preserve">e, Crosby, V.S.Moss, Jefferson, </w:t>
      </w:r>
      <w:r w:rsidRPr="00B57A71">
        <w:rPr>
          <w:rFonts w:cs="Times New Roman"/>
        </w:rPr>
        <w:t>Yow, Duckwo</w:t>
      </w:r>
      <w:r>
        <w:rPr>
          <w:rFonts w:cs="Times New Roman"/>
        </w:rPr>
        <w:t xml:space="preserve">rth, H.A.Crawford, Jordan, Fry, </w:t>
      </w:r>
      <w:r w:rsidRPr="00B57A71">
        <w:rPr>
          <w:rFonts w:cs="Times New Roman"/>
        </w:rPr>
        <w:t xml:space="preserve">Herbkersman, </w:t>
      </w:r>
      <w:r>
        <w:rPr>
          <w:rFonts w:cs="Times New Roman"/>
        </w:rPr>
        <w:t xml:space="preserve">Lowe, Goldfinch, Hixon, Norman, </w:t>
      </w:r>
      <w:r w:rsidRPr="00B57A71">
        <w:rPr>
          <w:rFonts w:cs="Times New Roman"/>
        </w:rPr>
        <w:t>Hiott, Taylor, McCoy, D.C.Moss, Coll</w:t>
      </w:r>
      <w:r>
        <w:rPr>
          <w:rFonts w:cs="Times New Roman"/>
        </w:rPr>
        <w:t xml:space="preserve">ins, </w:t>
      </w:r>
      <w:r w:rsidRPr="00B57A71">
        <w:rPr>
          <w:rFonts w:cs="Times New Roman"/>
        </w:rPr>
        <w:t>Rutherford, Anderson, Kirby</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House</w:t>
      </w:r>
      <w:r>
        <w:rPr>
          <w:rFonts w:cs="Times New Roman"/>
        </w:rPr>
        <w:tab/>
      </w:r>
      <w:r w:rsidRPr="00B57A71">
        <w:rPr>
          <w:rFonts w:cs="Times New Roman"/>
        </w:rPr>
        <w:t>Member(s) request name added as sponsor: Pitts</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B57A71">
        <w:rPr>
          <w:rFonts w:cs="Times New Roman"/>
        </w:rPr>
        <w:t>Member(s) request name added as sponsor: Corley</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B57A71">
        <w:rPr>
          <w:rFonts w:cs="Times New Roman"/>
        </w:rPr>
        <w:t>Member(s)</w:t>
      </w:r>
      <w:r>
        <w:rPr>
          <w:rFonts w:cs="Times New Roman"/>
        </w:rPr>
        <w:t xml:space="preserve"> request name added as sponsor: </w:t>
      </w:r>
      <w:r w:rsidRPr="00B57A71">
        <w:rPr>
          <w:rFonts w:cs="Times New Roman"/>
        </w:rPr>
        <w:t>Ballentine, Hamilton, Finlay, Huggins</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B57A71">
        <w:rPr>
          <w:rFonts w:cs="Times New Roman"/>
        </w:rPr>
        <w:t>Member(s) requ</w:t>
      </w:r>
      <w:r>
        <w:rPr>
          <w:rFonts w:cs="Times New Roman"/>
        </w:rPr>
        <w:t xml:space="preserve">est name added as sponsor: Ott, </w:t>
      </w:r>
      <w:r w:rsidRPr="00B57A71">
        <w:rPr>
          <w:rFonts w:cs="Times New Roman"/>
        </w:rPr>
        <w:t>Govan, Riley, Willis, Thayer, Felder, Hicks</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House</w:t>
      </w:r>
      <w:r>
        <w:rPr>
          <w:rFonts w:cs="Times New Roman"/>
        </w:rPr>
        <w:tab/>
      </w:r>
      <w:r w:rsidRPr="00B57A71">
        <w:rPr>
          <w:rFonts w:cs="Times New Roman"/>
        </w:rPr>
        <w:t>Member(s) request name added as sponsor: S</w:t>
      </w:r>
      <w:r>
        <w:rPr>
          <w:rFonts w:cs="Times New Roman"/>
        </w:rPr>
        <w:t xml:space="preserve">imrill, </w:t>
      </w:r>
      <w:r w:rsidRPr="00B57A71">
        <w:rPr>
          <w:rFonts w:cs="Times New Roman"/>
        </w:rPr>
        <w:t>G.A.Brown, Bedingfield, Stringer, Ryhal</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B57A71">
        <w:rPr>
          <w:rFonts w:cs="Times New Roman"/>
        </w:rPr>
        <w:t>Member(s) request name added as sponsor: King, Loftis</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B57A71">
        <w:rPr>
          <w:rFonts w:cs="Times New Roman"/>
        </w:rPr>
        <w:t>Member(s) reques</w:t>
      </w:r>
      <w:r>
        <w:rPr>
          <w:rFonts w:cs="Times New Roman"/>
        </w:rPr>
        <w:t xml:space="preserve">t name added as sponsor: Hayes, </w:t>
      </w:r>
      <w:r w:rsidRPr="00B57A71">
        <w:rPr>
          <w:rFonts w:cs="Times New Roman"/>
        </w:rPr>
        <w:t>Mack, Rivers, Ridgew</w:t>
      </w:r>
      <w:r>
        <w:rPr>
          <w:rFonts w:cs="Times New Roman"/>
        </w:rPr>
        <w:t xml:space="preserve">ay, Clary, Brannon, Atwater, </w:t>
      </w:r>
      <w:r w:rsidRPr="00B57A71">
        <w:rPr>
          <w:rFonts w:cs="Times New Roman"/>
        </w:rPr>
        <w:t>Daning, Bannister</w:t>
      </w:r>
      <w:r>
        <w:rPr>
          <w:rFonts w:cs="Times New Roman"/>
        </w:rPr>
        <w:t xml:space="preserve">, Anthony, McEachern, Mitchell, </w:t>
      </w:r>
      <w:r w:rsidRPr="00B57A71">
        <w:rPr>
          <w:rFonts w:cs="Times New Roman"/>
        </w:rPr>
        <w:t>Erickson</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B57A71">
        <w:rPr>
          <w:rFonts w:cs="Times New Roman"/>
        </w:rPr>
        <w:t>Member(s) reques</w:t>
      </w:r>
      <w:r>
        <w:rPr>
          <w:rFonts w:cs="Times New Roman"/>
        </w:rPr>
        <w:t xml:space="preserve">t name added as sponsor: Weeks, </w:t>
      </w:r>
      <w:r w:rsidRPr="00B57A71">
        <w:rPr>
          <w:rFonts w:cs="Times New Roman"/>
        </w:rPr>
        <w:t xml:space="preserve">Knight, </w:t>
      </w:r>
      <w:r>
        <w:rPr>
          <w:rFonts w:cs="Times New Roman"/>
        </w:rPr>
        <w:t xml:space="preserve">Cole, George, Horne, G.R.Smith, </w:t>
      </w:r>
      <w:r w:rsidRPr="00B57A71">
        <w:rPr>
          <w:rFonts w:cs="Times New Roman"/>
        </w:rPr>
        <w:t>G.M.Smith, Williams, Limehouse, Pope, Gambrell</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B57A71">
        <w:rPr>
          <w:rFonts w:cs="Times New Roman"/>
        </w:rPr>
        <w:t xml:space="preserve">Committee report: </w:t>
      </w:r>
      <w:r>
        <w:rPr>
          <w:rFonts w:cs="Times New Roman"/>
        </w:rPr>
        <w:t xml:space="preserve">Favorable with amendment </w:t>
      </w:r>
      <w:r w:rsidRPr="00B57A71">
        <w:rPr>
          <w:rFonts w:cs="Times New Roman"/>
          <w:b/>
        </w:rPr>
        <w:t>Labor, Commerce and Industry</w:t>
      </w:r>
      <w:r w:rsidRPr="00B57A71">
        <w:rPr>
          <w:rFonts w:cs="Times New Roman"/>
        </w:rPr>
        <w:t xml:space="preserve"> (</w:t>
      </w:r>
      <w:hyperlink r:id="rId9" w:history="1">
        <w:r w:rsidRPr="006E5C52">
          <w:rPr>
            <w:rStyle w:val="Hyperlink"/>
            <w:rFonts w:cs="Times New Roman"/>
          </w:rPr>
          <w:t>House Journal</w:t>
        </w:r>
        <w:r w:rsidRPr="006E5C52">
          <w:rPr>
            <w:rStyle w:val="Hyperlink"/>
            <w:rFonts w:cs="Times New Roman"/>
          </w:rPr>
          <w:noBreakHyphen/>
          <w:t>page 5</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B57A71">
        <w:rPr>
          <w:rFonts w:cs="Times New Roman"/>
        </w:rPr>
        <w:t>Member(s)</w:t>
      </w:r>
      <w:r>
        <w:rPr>
          <w:rFonts w:cs="Times New Roman"/>
        </w:rPr>
        <w:t xml:space="preserve"> request name added as sponsor: </w:t>
      </w:r>
      <w:r w:rsidRPr="00B57A71">
        <w:rPr>
          <w:rFonts w:cs="Times New Roman"/>
        </w:rPr>
        <w:t>Alexander, Stavrinakis, Newton</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lastRenderedPageBreak/>
        <w:tab/>
        <w:t>2/11/2016</w:t>
      </w:r>
      <w:r>
        <w:rPr>
          <w:rFonts w:cs="Times New Roman"/>
        </w:rPr>
        <w:tab/>
        <w:t>House</w:t>
      </w:r>
      <w:r>
        <w:rPr>
          <w:rFonts w:cs="Times New Roman"/>
        </w:rPr>
        <w:tab/>
      </w:r>
      <w:r w:rsidRPr="00B57A71">
        <w:rPr>
          <w:rFonts w:cs="Times New Roman"/>
        </w:rPr>
        <w:t>Member(s) reques</w:t>
      </w:r>
      <w:r>
        <w:rPr>
          <w:rFonts w:cs="Times New Roman"/>
        </w:rPr>
        <w:t xml:space="preserve">t name added as sponsor: White, </w:t>
      </w:r>
      <w:r w:rsidRPr="00B57A71">
        <w:rPr>
          <w:rFonts w:cs="Times New Roman"/>
        </w:rPr>
        <w:t>Spires, R.L.Brown, Gilliard, Dillard</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B57A71">
        <w:rPr>
          <w:rFonts w:cs="Times New Roman"/>
        </w:rPr>
        <w:t>Requests for deb</w:t>
      </w:r>
      <w:r>
        <w:rPr>
          <w:rFonts w:cs="Times New Roman"/>
        </w:rPr>
        <w:t>ate</w:t>
      </w:r>
      <w:r>
        <w:rPr>
          <w:rFonts w:cs="Times New Roman"/>
        </w:rPr>
        <w:noBreakHyphen/>
        <w:t xml:space="preserve">Rep(s). Ott, Mack, Whipper, </w:t>
      </w:r>
      <w:r w:rsidRPr="00B57A71">
        <w:rPr>
          <w:rFonts w:cs="Times New Roman"/>
        </w:rPr>
        <w:t>Cobb</w:t>
      </w:r>
      <w:r>
        <w:rPr>
          <w:rFonts w:cs="Times New Roman"/>
        </w:rPr>
        <w:noBreakHyphen/>
      </w:r>
      <w:r w:rsidRPr="00B57A71">
        <w:rPr>
          <w:rFonts w:cs="Times New Roman"/>
        </w:rPr>
        <w:t>Hunter,</w:t>
      </w:r>
      <w:r>
        <w:rPr>
          <w:rFonts w:cs="Times New Roman"/>
        </w:rPr>
        <w:t xml:space="preserve"> Williams, Sandifer, Forrester, </w:t>
      </w:r>
      <w:r w:rsidRPr="00B57A71">
        <w:rPr>
          <w:rFonts w:cs="Times New Roman"/>
        </w:rPr>
        <w:t>McKnight, Kenn</w:t>
      </w:r>
      <w:r>
        <w:rPr>
          <w:rFonts w:cs="Times New Roman"/>
        </w:rPr>
        <w:t xml:space="preserve">edy, JE Smith, King, Bernstein, </w:t>
      </w:r>
      <w:r w:rsidRPr="00B57A71">
        <w:rPr>
          <w:rFonts w:cs="Times New Roman"/>
        </w:rPr>
        <w:t>Whitmire, Erickson, Anderson, Kirby</w:t>
      </w:r>
      <w:r>
        <w:rPr>
          <w:rFonts w:cs="Times New Roman"/>
        </w:rPr>
        <w:t xml:space="preserve">, McCoy, MS </w:t>
      </w:r>
      <w:r w:rsidRPr="00B57A71">
        <w:rPr>
          <w:rFonts w:cs="Times New Roman"/>
        </w:rPr>
        <w:t>McLeod, (</w:t>
      </w:r>
      <w:hyperlink r:id="rId10" w:history="1">
        <w:r w:rsidRPr="006E5C52">
          <w:rPr>
            <w:rStyle w:val="Hyperlink"/>
            <w:rFonts w:cs="Times New Roman"/>
          </w:rPr>
          <w:t>House Journal</w:t>
        </w:r>
        <w:r w:rsidRPr="006E5C52">
          <w:rPr>
            <w:rStyle w:val="Hyperlink"/>
            <w:rFonts w:cs="Times New Roman"/>
          </w:rPr>
          <w:noBreakHyphen/>
          <w:t>page 67</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B57A71">
        <w:rPr>
          <w:rFonts w:cs="Times New Roman"/>
        </w:rPr>
        <w:t>Member(s) request name added as sponsor: Gagnon</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B57A71">
        <w:rPr>
          <w:rFonts w:cs="Times New Roman"/>
        </w:rPr>
        <w:t>Amended (</w:t>
      </w:r>
      <w:hyperlink r:id="rId11" w:history="1">
        <w:r w:rsidRPr="006E5C52">
          <w:rPr>
            <w:rStyle w:val="Hyperlink"/>
            <w:rFonts w:cs="Times New Roman"/>
          </w:rPr>
          <w:t>House Journal</w:t>
        </w:r>
        <w:r w:rsidRPr="006E5C52">
          <w:rPr>
            <w:rStyle w:val="Hyperlink"/>
            <w:rFonts w:cs="Times New Roman"/>
          </w:rPr>
          <w:noBreakHyphen/>
          <w:t>page 50</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B57A71">
        <w:rPr>
          <w:rFonts w:cs="Times New Roman"/>
        </w:rPr>
        <w:t>Read second time (</w:t>
      </w:r>
      <w:hyperlink r:id="rId12" w:history="1">
        <w:r w:rsidRPr="006E5C52">
          <w:rPr>
            <w:rStyle w:val="Hyperlink"/>
            <w:rFonts w:cs="Times New Roman"/>
          </w:rPr>
          <w:t>House Journal</w:t>
        </w:r>
        <w:r w:rsidRPr="006E5C52">
          <w:rPr>
            <w:rStyle w:val="Hyperlink"/>
            <w:rFonts w:cs="Times New Roman"/>
          </w:rPr>
          <w:noBreakHyphen/>
          <w:t>page 50</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B57A71">
        <w:rPr>
          <w:rFonts w:cs="Times New Roman"/>
        </w:rPr>
        <w:t>Roll call Yeas</w:t>
      </w:r>
      <w:r>
        <w:rPr>
          <w:rFonts w:cs="Times New Roman"/>
        </w:rPr>
        <w:noBreakHyphen/>
      </w:r>
      <w:r w:rsidRPr="00B57A71">
        <w:rPr>
          <w:rFonts w:cs="Times New Roman"/>
        </w:rPr>
        <w:t>98  Nays</w:t>
      </w:r>
      <w:r>
        <w:rPr>
          <w:rFonts w:cs="Times New Roman"/>
        </w:rPr>
        <w:noBreakHyphen/>
      </w:r>
      <w:r w:rsidRPr="00B57A71">
        <w:rPr>
          <w:rFonts w:cs="Times New Roman"/>
        </w:rPr>
        <w:t>7 (</w:t>
      </w:r>
      <w:hyperlink r:id="rId13" w:history="1">
        <w:r w:rsidRPr="006E5C52">
          <w:rPr>
            <w:rStyle w:val="Hyperlink"/>
            <w:rFonts w:cs="Times New Roman"/>
          </w:rPr>
          <w:t>House Journal</w:t>
        </w:r>
        <w:r w:rsidRPr="006E5C52">
          <w:rPr>
            <w:rStyle w:val="Hyperlink"/>
            <w:rFonts w:cs="Times New Roman"/>
          </w:rPr>
          <w:noBreakHyphen/>
          <w:t>page 50</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r>
      <w:r>
        <w:rPr>
          <w:rFonts w:cs="Times New Roman"/>
        </w:rPr>
        <w:tab/>
      </w:r>
      <w:r w:rsidRPr="00B57A71">
        <w:rPr>
          <w:rFonts w:cs="Times New Roman"/>
        </w:rPr>
        <w:t>Scrivener's error corrected</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B57A71">
        <w:rPr>
          <w:rFonts w:cs="Times New Roman"/>
        </w:rPr>
        <w:t>Rea</w:t>
      </w:r>
      <w:r>
        <w:rPr>
          <w:rFonts w:cs="Times New Roman"/>
        </w:rPr>
        <w:t xml:space="preserve">d third time and sent to Senate </w:t>
      </w:r>
      <w:r w:rsidRPr="00B57A71">
        <w:rPr>
          <w:rFonts w:cs="Times New Roman"/>
        </w:rPr>
        <w:t>(</w:t>
      </w:r>
      <w:hyperlink r:id="rId14" w:history="1">
        <w:r w:rsidRPr="006E5C52">
          <w:rPr>
            <w:rStyle w:val="Hyperlink"/>
            <w:rFonts w:cs="Times New Roman"/>
          </w:rPr>
          <w:t>House Journal</w:t>
        </w:r>
        <w:r w:rsidRPr="006E5C52">
          <w:rPr>
            <w:rStyle w:val="Hyperlink"/>
            <w:rFonts w:cs="Times New Roman"/>
          </w:rPr>
          <w:noBreakHyphen/>
          <w:t>page 40</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B57A71">
        <w:rPr>
          <w:rFonts w:cs="Times New Roman"/>
        </w:rPr>
        <w:t>Introduced and read first time (</w:t>
      </w:r>
      <w:hyperlink r:id="rId15" w:history="1">
        <w:r w:rsidRPr="006E5C52">
          <w:rPr>
            <w:rStyle w:val="Hyperlink"/>
            <w:rFonts w:cs="Times New Roman"/>
          </w:rPr>
          <w:t>Senate Journal</w:t>
        </w:r>
        <w:r w:rsidRPr="006E5C52">
          <w:rPr>
            <w:rStyle w:val="Hyperlink"/>
            <w:rFonts w:cs="Times New Roman"/>
          </w:rPr>
          <w:noBreakHyphen/>
          <w:t>page 7</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B57A71">
        <w:rPr>
          <w:rFonts w:cs="Times New Roman"/>
        </w:rPr>
        <w:t>Ref</w:t>
      </w:r>
      <w:r>
        <w:rPr>
          <w:rFonts w:cs="Times New Roman"/>
        </w:rPr>
        <w:t xml:space="preserve">erred to Committee on </w:t>
      </w:r>
      <w:r w:rsidRPr="00B57A71">
        <w:rPr>
          <w:rFonts w:cs="Times New Roman"/>
          <w:b/>
        </w:rPr>
        <w:t>Judiciary</w:t>
      </w:r>
      <w:r>
        <w:rPr>
          <w:rFonts w:cs="Times New Roman"/>
        </w:rPr>
        <w:t xml:space="preserve"> </w:t>
      </w:r>
      <w:r w:rsidRPr="00B57A71">
        <w:rPr>
          <w:rFonts w:cs="Times New Roman"/>
        </w:rPr>
        <w:t>(</w:t>
      </w:r>
      <w:hyperlink r:id="rId16" w:history="1">
        <w:r w:rsidRPr="006E5C52">
          <w:rPr>
            <w:rStyle w:val="Hyperlink"/>
            <w:rFonts w:cs="Times New Roman"/>
          </w:rPr>
          <w:t>Senate Journal</w:t>
        </w:r>
        <w:r w:rsidRPr="006E5C52">
          <w:rPr>
            <w:rStyle w:val="Hyperlink"/>
            <w:rFonts w:cs="Times New Roman"/>
          </w:rPr>
          <w:noBreakHyphen/>
          <w:t>page 7</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B57A71">
        <w:rPr>
          <w:rFonts w:cs="Times New Roman"/>
        </w:rPr>
        <w:t>Committee repor</w:t>
      </w:r>
      <w:r>
        <w:rPr>
          <w:rFonts w:cs="Times New Roman"/>
        </w:rPr>
        <w:t xml:space="preserve">t: Majority favorable, minority </w:t>
      </w:r>
      <w:r w:rsidRPr="00B57A71">
        <w:rPr>
          <w:rFonts w:cs="Times New Roman"/>
        </w:rPr>
        <w:t xml:space="preserve">unfavorable </w:t>
      </w:r>
      <w:r w:rsidRPr="00B57A71">
        <w:rPr>
          <w:rFonts w:cs="Times New Roman"/>
          <w:b/>
        </w:rPr>
        <w:t>Judiciary</w:t>
      </w:r>
      <w:r w:rsidRPr="00B57A71">
        <w:rPr>
          <w:rFonts w:cs="Times New Roman"/>
        </w:rPr>
        <w:t xml:space="preserve"> (</w:t>
      </w:r>
      <w:hyperlink r:id="rId17" w:history="1">
        <w:r w:rsidRPr="006E5C52">
          <w:rPr>
            <w:rStyle w:val="Hyperlink"/>
            <w:rFonts w:cs="Times New Roman"/>
          </w:rPr>
          <w:t>Senate Journal</w:t>
        </w:r>
        <w:r w:rsidRPr="006E5C52">
          <w:rPr>
            <w:rStyle w:val="Hyperlink"/>
            <w:rFonts w:cs="Times New Roman"/>
          </w:rPr>
          <w:noBreakHyphen/>
          <w:t>page 8</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r>
      <w:r>
        <w:rPr>
          <w:rFonts w:cs="Times New Roman"/>
        </w:rPr>
        <w:tab/>
      </w:r>
      <w:r w:rsidRPr="00B57A71">
        <w:rPr>
          <w:rFonts w:cs="Times New Roman"/>
        </w:rPr>
        <w:t>Scrivener's error corrected</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B57A71">
        <w:rPr>
          <w:rFonts w:cs="Times New Roman"/>
        </w:rPr>
        <w:t>Amended (</w:t>
      </w:r>
      <w:hyperlink r:id="rId18" w:history="1">
        <w:r w:rsidRPr="006E5C52">
          <w:rPr>
            <w:rStyle w:val="Hyperlink"/>
            <w:rFonts w:cs="Times New Roman"/>
          </w:rPr>
          <w:t>Senate Journal</w:t>
        </w:r>
        <w:r w:rsidRPr="006E5C52">
          <w:rPr>
            <w:rStyle w:val="Hyperlink"/>
            <w:rFonts w:cs="Times New Roman"/>
          </w:rPr>
          <w:noBreakHyphen/>
          <w:t>page 17</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r>
      <w:r>
        <w:rPr>
          <w:rFonts w:cs="Times New Roman"/>
        </w:rPr>
        <w:tab/>
      </w:r>
      <w:r w:rsidRPr="00B57A71">
        <w:rPr>
          <w:rFonts w:cs="Times New Roman"/>
        </w:rPr>
        <w:t>Scrivener's error corrected</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B57A71">
        <w:rPr>
          <w:rFonts w:cs="Times New Roman"/>
        </w:rPr>
        <w:t>Amended (</w:t>
      </w:r>
      <w:hyperlink r:id="rId19" w:history="1">
        <w:r w:rsidRPr="006E5C52">
          <w:rPr>
            <w:rStyle w:val="Hyperlink"/>
            <w:rFonts w:cs="Times New Roman"/>
          </w:rPr>
          <w:t>Senate Journal</w:t>
        </w:r>
        <w:r w:rsidRPr="006E5C52">
          <w:rPr>
            <w:rStyle w:val="Hyperlink"/>
            <w:rFonts w:cs="Times New Roman"/>
          </w:rPr>
          <w:noBreakHyphen/>
          <w:t>page 33</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B57A71">
        <w:rPr>
          <w:rFonts w:cs="Times New Roman"/>
        </w:rPr>
        <w:t>Spec</w:t>
      </w:r>
      <w:r>
        <w:rPr>
          <w:rFonts w:cs="Times New Roman"/>
        </w:rPr>
        <w:t xml:space="preserve">ial order, set for May 11, 2016 </w:t>
      </w:r>
      <w:r w:rsidRPr="00B57A71">
        <w:rPr>
          <w:rFonts w:cs="Times New Roman"/>
        </w:rPr>
        <w:t>(</w:t>
      </w:r>
      <w:hyperlink r:id="rId20" w:history="1">
        <w:r w:rsidRPr="006E5C52">
          <w:rPr>
            <w:rStyle w:val="Hyperlink"/>
            <w:rFonts w:cs="Times New Roman"/>
          </w:rPr>
          <w:t>Senate Journal</w:t>
        </w:r>
        <w:r w:rsidRPr="006E5C52">
          <w:rPr>
            <w:rStyle w:val="Hyperlink"/>
            <w:rFonts w:cs="Times New Roman"/>
          </w:rPr>
          <w:noBreakHyphen/>
          <w:t>page 76</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57A71">
        <w:rPr>
          <w:rFonts w:cs="Times New Roman"/>
        </w:rPr>
        <w:t>Amended (</w:t>
      </w:r>
      <w:hyperlink r:id="rId21" w:history="1">
        <w:r w:rsidRPr="006E5C52">
          <w:rPr>
            <w:rStyle w:val="Hyperlink"/>
            <w:rFonts w:cs="Times New Roman"/>
          </w:rPr>
          <w:t>Senate Journal</w:t>
        </w:r>
        <w:r w:rsidRPr="006E5C52">
          <w:rPr>
            <w:rStyle w:val="Hyperlink"/>
            <w:rFonts w:cs="Times New Roman"/>
          </w:rPr>
          <w:noBreakHyphen/>
          <w:t>page 44</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57A71">
        <w:rPr>
          <w:rFonts w:cs="Times New Roman"/>
        </w:rPr>
        <w:t>Read second time (</w:t>
      </w:r>
      <w:hyperlink r:id="rId22" w:history="1">
        <w:r w:rsidRPr="006E5C52">
          <w:rPr>
            <w:rStyle w:val="Hyperlink"/>
            <w:rFonts w:cs="Times New Roman"/>
          </w:rPr>
          <w:t>Senate Journal</w:t>
        </w:r>
        <w:r w:rsidRPr="006E5C52">
          <w:rPr>
            <w:rStyle w:val="Hyperlink"/>
            <w:rFonts w:cs="Times New Roman"/>
          </w:rPr>
          <w:noBreakHyphen/>
          <w:t>page 44</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57A71">
        <w:rPr>
          <w:rFonts w:cs="Times New Roman"/>
        </w:rPr>
        <w:t>Roll call Ayes</w:t>
      </w:r>
      <w:r>
        <w:rPr>
          <w:rFonts w:cs="Times New Roman"/>
        </w:rPr>
        <w:noBreakHyphen/>
      </w:r>
      <w:r w:rsidRPr="00B57A71">
        <w:rPr>
          <w:rFonts w:cs="Times New Roman"/>
        </w:rPr>
        <w:t>42  Nays</w:t>
      </w:r>
      <w:r>
        <w:rPr>
          <w:rFonts w:cs="Times New Roman"/>
        </w:rPr>
        <w:noBreakHyphen/>
      </w:r>
      <w:r w:rsidRPr="00B57A71">
        <w:rPr>
          <w:rFonts w:cs="Times New Roman"/>
        </w:rPr>
        <w:t>0 (</w:t>
      </w:r>
      <w:hyperlink r:id="rId23" w:history="1">
        <w:r w:rsidRPr="006E5C52">
          <w:rPr>
            <w:rStyle w:val="Hyperlink"/>
            <w:rFonts w:cs="Times New Roman"/>
          </w:rPr>
          <w:t>Senate Journal</w:t>
        </w:r>
        <w:r w:rsidRPr="006E5C52">
          <w:rPr>
            <w:rStyle w:val="Hyperlink"/>
            <w:rFonts w:cs="Times New Roman"/>
          </w:rPr>
          <w:noBreakHyphen/>
          <w:t>page 44</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B57A71">
        <w:rPr>
          <w:rFonts w:cs="Times New Roman"/>
        </w:rPr>
        <w:t xml:space="preserve">Read third </w:t>
      </w:r>
      <w:r>
        <w:rPr>
          <w:rFonts w:cs="Times New Roman"/>
        </w:rPr>
        <w:t xml:space="preserve">time and returned to House with </w:t>
      </w:r>
      <w:r w:rsidRPr="00B57A71">
        <w:rPr>
          <w:rFonts w:cs="Times New Roman"/>
        </w:rPr>
        <w:t>amendments (</w:t>
      </w:r>
      <w:hyperlink r:id="rId24" w:history="1">
        <w:r w:rsidRPr="006E5C52">
          <w:rPr>
            <w:rStyle w:val="Hyperlink"/>
            <w:rFonts w:cs="Times New Roman"/>
          </w:rPr>
          <w:t>Senate Journal</w:t>
        </w:r>
        <w:r w:rsidRPr="006E5C52">
          <w:rPr>
            <w:rStyle w:val="Hyperlink"/>
            <w:rFonts w:cs="Times New Roman"/>
          </w:rPr>
          <w:noBreakHyphen/>
          <w:t>page 55</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B57A71">
        <w:rPr>
          <w:rFonts w:cs="Times New Roman"/>
        </w:rPr>
        <w:t>Concurred i</w:t>
      </w:r>
      <w:r>
        <w:rPr>
          <w:rFonts w:cs="Times New Roman"/>
        </w:rPr>
        <w:t xml:space="preserve">n Senate amendment and enrolled </w:t>
      </w:r>
      <w:r w:rsidRPr="00B57A71">
        <w:rPr>
          <w:rFonts w:cs="Times New Roman"/>
        </w:rPr>
        <w:t>(</w:t>
      </w:r>
      <w:hyperlink r:id="rId25" w:history="1">
        <w:r w:rsidRPr="006E5C52">
          <w:rPr>
            <w:rStyle w:val="Hyperlink"/>
            <w:rFonts w:cs="Times New Roman"/>
          </w:rPr>
          <w:t>House Journal</w:t>
        </w:r>
        <w:r w:rsidRPr="006E5C52">
          <w:rPr>
            <w:rStyle w:val="Hyperlink"/>
            <w:rFonts w:cs="Times New Roman"/>
          </w:rPr>
          <w:noBreakHyphen/>
          <w:t>page 41</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B57A71">
        <w:rPr>
          <w:rFonts w:cs="Times New Roman"/>
        </w:rPr>
        <w:t>Roll call Yeas</w:t>
      </w:r>
      <w:r>
        <w:rPr>
          <w:rFonts w:cs="Times New Roman"/>
        </w:rPr>
        <w:noBreakHyphen/>
      </w:r>
      <w:r w:rsidRPr="00B57A71">
        <w:rPr>
          <w:rFonts w:cs="Times New Roman"/>
        </w:rPr>
        <w:t>99  Nays</w:t>
      </w:r>
      <w:r>
        <w:rPr>
          <w:rFonts w:cs="Times New Roman"/>
        </w:rPr>
        <w:noBreakHyphen/>
      </w:r>
      <w:r w:rsidRPr="00B57A71">
        <w:rPr>
          <w:rFonts w:cs="Times New Roman"/>
        </w:rPr>
        <w:t>0 (</w:t>
      </w:r>
      <w:hyperlink r:id="rId26" w:history="1">
        <w:r w:rsidRPr="006E5C52">
          <w:rPr>
            <w:rStyle w:val="Hyperlink"/>
            <w:rFonts w:cs="Times New Roman"/>
          </w:rPr>
          <w:t>House Journal</w:t>
        </w:r>
        <w:r w:rsidRPr="006E5C52">
          <w:rPr>
            <w:rStyle w:val="Hyperlink"/>
            <w:rFonts w:cs="Times New Roman"/>
          </w:rPr>
          <w:noBreakHyphen/>
          <w:t>page 41</w:t>
        </w:r>
      </w:hyperlink>
      <w:r w:rsidRPr="00B57A71">
        <w:rPr>
          <w:rFonts w:cs="Times New Roman"/>
        </w:rPr>
        <w:t>)</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57A71">
        <w:rPr>
          <w:rFonts w:cs="Times New Roman"/>
        </w:rPr>
        <w:t>Ratified R 265</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B57A71">
        <w:rPr>
          <w:rFonts w:cs="Times New Roman"/>
        </w:rPr>
        <w:t>Signed By Governor</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57A71">
        <w:rPr>
          <w:rFonts w:cs="Times New Roman"/>
        </w:rPr>
        <w:t>Effective date See Act for Effective Date</w:t>
      </w:r>
    </w:p>
    <w:p w:rsidR="00D57D5A" w:rsidRDefault="00D57D5A" w:rsidP="00D57D5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57A71">
        <w:rPr>
          <w:rFonts w:cs="Times New Roman"/>
        </w:rPr>
        <w:t>Act No</w:t>
      </w:r>
      <w:r>
        <w:rPr>
          <w:rFonts w:cs="Times New Roman"/>
        </w:rPr>
        <w:t>. </w:t>
      </w:r>
      <w:r w:rsidRPr="00B57A71">
        <w:rPr>
          <w:rFonts w:cs="Times New Roman"/>
        </w:rPr>
        <w:t>231</w:t>
      </w:r>
    </w:p>
    <w:p w:rsidR="00D57D5A" w:rsidRDefault="00D57D5A" w:rsidP="00D57D5A">
      <w:pPr>
        <w:widowControl w:val="0"/>
        <w:tabs>
          <w:tab w:val="right" w:pos="1008"/>
          <w:tab w:val="left" w:pos="1152"/>
          <w:tab w:val="left" w:pos="1872"/>
          <w:tab w:val="left" w:pos="9187"/>
        </w:tabs>
        <w:ind w:left="2088" w:hanging="2088"/>
        <w:rPr>
          <w:rFonts w:cs="Times New Roman"/>
        </w:rPr>
      </w:pPr>
    </w:p>
    <w:p w:rsidR="00B726A4" w:rsidRPr="00B726A4" w:rsidRDefault="00B726A4" w:rsidP="00B726A4">
      <w:pPr>
        <w:widowControl w:val="0"/>
        <w:tabs>
          <w:tab w:val="right" w:pos="1008"/>
          <w:tab w:val="left" w:pos="1152"/>
          <w:tab w:val="left" w:pos="1872"/>
          <w:tab w:val="left" w:pos="9187"/>
        </w:tabs>
        <w:ind w:left="2088" w:hanging="2088"/>
        <w:rPr>
          <w:rFonts w:eastAsia="Times New Roman" w:cs="Times New Roman"/>
          <w:szCs w:val="20"/>
        </w:rPr>
      </w:pPr>
      <w:r w:rsidRPr="00B726A4">
        <w:rPr>
          <w:rFonts w:eastAsia="Times New Roman" w:cs="Times New Roman"/>
          <w:szCs w:val="20"/>
        </w:rPr>
        <w:t xml:space="preserve">View the latest </w:t>
      </w:r>
      <w:hyperlink r:id="rId27" w:history="1">
        <w:r w:rsidRPr="00B726A4">
          <w:rPr>
            <w:rFonts w:eastAsia="Times New Roman" w:cs="Times New Roman"/>
            <w:color w:val="0000FF" w:themeColor="hyperlink"/>
            <w:szCs w:val="20"/>
            <w:u w:val="single"/>
          </w:rPr>
          <w:t>legislative information</w:t>
        </w:r>
      </w:hyperlink>
      <w:r w:rsidRPr="00B726A4">
        <w:rPr>
          <w:rFonts w:eastAsia="Times New Roman" w:cs="Times New Roman"/>
          <w:szCs w:val="20"/>
        </w:rPr>
        <w:t xml:space="preserve"> at the website</w:t>
      </w:r>
    </w:p>
    <w:p w:rsidR="00B726A4" w:rsidRPr="00B726A4" w:rsidRDefault="00B726A4" w:rsidP="00B726A4">
      <w:pPr>
        <w:widowControl w:val="0"/>
        <w:tabs>
          <w:tab w:val="right" w:pos="1008"/>
          <w:tab w:val="left" w:pos="1152"/>
          <w:tab w:val="left" w:pos="1872"/>
          <w:tab w:val="left" w:pos="9187"/>
        </w:tabs>
        <w:ind w:left="2088" w:hanging="2088"/>
        <w:rPr>
          <w:rFonts w:eastAsia="Times New Roman" w:cs="Times New Roman"/>
          <w:szCs w:val="20"/>
        </w:rPr>
      </w:pPr>
    </w:p>
    <w:p w:rsidR="00B726A4" w:rsidRPr="00B726A4" w:rsidRDefault="00B726A4" w:rsidP="00B726A4">
      <w:pPr>
        <w:widowControl w:val="0"/>
        <w:tabs>
          <w:tab w:val="right" w:pos="1008"/>
          <w:tab w:val="left" w:pos="1152"/>
          <w:tab w:val="left" w:pos="1872"/>
          <w:tab w:val="left" w:pos="9187"/>
        </w:tabs>
        <w:ind w:left="2088" w:hanging="2088"/>
        <w:rPr>
          <w:rFonts w:eastAsia="Times New Roman" w:cs="Times New Roman"/>
          <w:szCs w:val="20"/>
        </w:rPr>
      </w:pP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26A4">
        <w:rPr>
          <w:rFonts w:eastAsia="Times New Roman" w:cs="Times New Roman"/>
          <w:b/>
          <w:szCs w:val="20"/>
        </w:rPr>
        <w:t>VERSIONS OF THIS BILL</w:t>
      </w:r>
    </w:p>
    <w:p w:rsidR="00B726A4" w:rsidRPr="00B726A4" w:rsidRDefault="00B726A4"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26A4" w:rsidRPr="00B726A4" w:rsidRDefault="006E5C52" w:rsidP="00B72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B726A4" w:rsidRPr="00B726A4">
          <w:rPr>
            <w:rFonts w:eastAsia="Times New Roman" w:cs="Times New Roman"/>
            <w:color w:val="0000FF" w:themeColor="hyperlink"/>
            <w:szCs w:val="20"/>
            <w:u w:val="single"/>
          </w:rPr>
          <w:t>12/10/2015</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726A4" w:rsidRPr="00B726A4">
          <w:rPr>
            <w:rFonts w:eastAsia="Times New Roman" w:cs="Times New Roman"/>
            <w:color w:val="0000FF" w:themeColor="hyperlink"/>
            <w:szCs w:val="20"/>
            <w:u w:val="single"/>
          </w:rPr>
          <w:t>2/10/2016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726A4" w:rsidRPr="00B726A4">
          <w:rPr>
            <w:rFonts w:eastAsia="Times New Roman" w:cs="Times New Roman"/>
            <w:color w:val="0000FF" w:themeColor="hyperlink"/>
            <w:szCs w:val="20"/>
            <w:u w:val="single"/>
          </w:rPr>
          <w:t>2/23/2016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726A4" w:rsidRPr="00B726A4">
          <w:rPr>
            <w:rFonts w:eastAsia="Times New Roman" w:cs="Times New Roman"/>
            <w:color w:val="0000FF" w:themeColor="hyperlink"/>
            <w:szCs w:val="20"/>
            <w:u w:val="single"/>
          </w:rPr>
          <w:t>2/24/2016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726A4" w:rsidRPr="00B726A4">
          <w:rPr>
            <w:rFonts w:eastAsia="Times New Roman" w:cs="Times New Roman"/>
            <w:color w:val="0000FF" w:themeColor="hyperlink"/>
            <w:szCs w:val="20"/>
            <w:u w:val="single"/>
          </w:rPr>
          <w:t>3/2/2016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726A4" w:rsidRPr="00B726A4">
          <w:rPr>
            <w:rFonts w:eastAsia="Times New Roman" w:cs="Times New Roman"/>
            <w:color w:val="0000FF" w:themeColor="hyperlink"/>
            <w:szCs w:val="20"/>
            <w:u w:val="single"/>
          </w:rPr>
          <w:t>3/3/2016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726A4" w:rsidRPr="00B726A4">
          <w:rPr>
            <w:rFonts w:eastAsia="Times New Roman" w:cs="Times New Roman"/>
            <w:color w:val="0000FF" w:themeColor="hyperlink"/>
            <w:szCs w:val="20"/>
            <w:u w:val="single"/>
          </w:rPr>
          <w:t>4/12/2016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726A4" w:rsidRPr="00B726A4">
          <w:rPr>
            <w:rFonts w:eastAsia="Times New Roman" w:cs="Times New Roman"/>
            <w:color w:val="0000FF" w:themeColor="hyperlink"/>
            <w:szCs w:val="20"/>
            <w:u w:val="single"/>
          </w:rPr>
          <w:t>4/13/2016</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B726A4" w:rsidRPr="00B726A4">
          <w:rPr>
            <w:rFonts w:eastAsia="Times New Roman" w:cs="Times New Roman"/>
            <w:color w:val="0000FF" w:themeColor="hyperlink"/>
            <w:szCs w:val="20"/>
            <w:u w:val="single"/>
          </w:rPr>
          <w:t>4/13/2016-A</w:t>
        </w:r>
      </w:hyperlink>
    </w:p>
    <w:p w:rsidR="00B726A4" w:rsidRPr="00B726A4" w:rsidRDefault="006E5C52"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B726A4" w:rsidRPr="00B726A4">
          <w:rPr>
            <w:rFonts w:eastAsia="Times New Roman" w:cs="Times New Roman"/>
            <w:color w:val="0000FF" w:themeColor="hyperlink"/>
            <w:szCs w:val="20"/>
            <w:u w:val="single"/>
          </w:rPr>
          <w:t>5/17/2016</w:t>
        </w:r>
      </w:hyperlink>
    </w:p>
    <w:p w:rsidR="00B726A4" w:rsidRPr="00B726A4" w:rsidRDefault="00B726A4"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726A4" w:rsidRDefault="00B726A4" w:rsidP="00B72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726A4" w:rsidSect="00B726A4">
          <w:pgSz w:w="12240" w:h="15840" w:code="1"/>
          <w:pgMar w:top="1080" w:right="1440" w:bottom="1080" w:left="1440" w:header="720" w:footer="720" w:gutter="0"/>
          <w:pgNumType w:start="1"/>
          <w:cols w:space="720"/>
          <w:noEndnote/>
          <w:docGrid w:linePitch="360"/>
        </w:sectPr>
      </w:pP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(A231, R265, H4548)</w:t>
      </w:r>
    </w:p>
    <w:p w:rsidR="00322829" w:rsidRPr="008836A5"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22829" w:rsidRPr="00B726A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726A4">
        <w:rPr>
          <w:rFonts w:cs="Times New Roman"/>
          <w:b/>
          <w:color w:val="000000" w:themeColor="text1"/>
          <w:szCs w:val="36"/>
        </w:rPr>
        <w:t xml:space="preserve">AN ACT </w:t>
      </w:r>
      <w:bookmarkStart w:id="1" w:name="titleend"/>
      <w:bookmarkEnd w:id="1"/>
      <w:r w:rsidRPr="00B726A4">
        <w:rPr>
          <w:rFonts w:cs="Times New Roman"/>
          <w:b/>
          <w:color w:val="000000" w:themeColor="text1"/>
          <w:u w:color="000000" w:themeColor="text1"/>
        </w:rPr>
        <w:t>TO AMEND SECTION 37</w:t>
      </w:r>
      <w:r w:rsidRPr="00B726A4">
        <w:rPr>
          <w:rFonts w:cs="Times New Roman"/>
          <w:b/>
          <w:color w:val="000000" w:themeColor="text1"/>
          <w:u w:color="000000" w:themeColor="text1"/>
        </w:rPr>
        <w:noBreakHyphen/>
        <w:t>2</w:t>
      </w:r>
      <w:r w:rsidRPr="00B726A4">
        <w:rPr>
          <w:rFonts w:cs="Times New Roman"/>
          <w:b/>
          <w:color w:val="000000" w:themeColor="text1"/>
          <w:u w:color="000000" w:themeColor="text1"/>
        </w:rPr>
        <w:noBreakHyphen/>
        <w:t xml:space="preserve">307, CODE OF LAWS OF SOUTH CAROLINA, 1976, RELATING TO CLOSING FEES ASSESSED ON MOTOR VEHICLE SALES CONTRACTS, SO AS TO REQUIRE A MOTOR VEHICLE DEALER WHO CHARGES A CLOSING FEE TO PAY A REGISTRATION FEE AND THE FEE MUST BE INCLUDED IN THE ADVERTISED PRICE OF THE MOTOR VEHICLE; TO DEFINE THE TERM CLOSING FEE; TO ESTABLISH THE PROCEDURES A DEALER SHALL UNDERTAKE BEFORE CHARGING A CLOSING FEE AND TO AUTHORIZE THE DEPARTMENT OF CONSUMER AFFAIRS TO DETERMINE WHETHER A CLOSING FEE IS REASONABLE; TO PROVIDE THAT A DEALER WHO COMPLIES WITH CERTAIN STATUTORY REQUIREMENTS MAY LAWFULLY CHARGE A CLOSING FEE, TO ALLOW A MOTOR VEHICLE DEALER TO ASSERT ANY DEFENSES PROVIDED TO A CREDITOR PURSUANT TO TITLE 37, AND TO ALLOW A PURCHASER INJURED OR DAMAGED BY THE ACTION OF A MOTOR VEHICLE DEALER IN VIOLATION OF CERTAIN STATUTORY REQUIREMENTS MAY ASSERT THE REMEDIES AVAILABLE PURSUANT TO TITLE 37; TO AUTHORIZE THE DEPARTMENT OF CONSUMER AFFAIRS TO ADMINISTER AND ENFORCE MOTOR VEHICLE DEALER CLOSING FEES; AND TO EXPRESS THE INTENT OF THE GENERAL ASSEMBLY.  </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Be it enacted by the General Assembly of the State of South Carolina:</w:t>
      </w: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2829" w:rsidRPr="0073781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Closing fees on motor vehicle sales contracts authorized and requirements for the fee</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SECTION</w:t>
      </w:r>
      <w:r w:rsidRPr="00FF7A74">
        <w:rPr>
          <w:rFonts w:cs="Times New Roman"/>
        </w:rPr>
        <w:tab/>
        <w:t>1.</w:t>
      </w:r>
      <w:r w:rsidRPr="00FF7A74">
        <w:rPr>
          <w:rFonts w:cs="Times New Roman"/>
        </w:rPr>
        <w:tab/>
        <w:t>Section 37</w:t>
      </w:r>
      <w:r w:rsidRPr="00FF7A74">
        <w:rPr>
          <w:rFonts w:cs="Times New Roman"/>
        </w:rPr>
        <w:noBreakHyphen/>
        <w:t>2</w:t>
      </w:r>
      <w:r w:rsidRPr="00FF7A74">
        <w:rPr>
          <w:rFonts w:cs="Times New Roman"/>
        </w:rPr>
        <w:noBreakHyphen/>
        <w:t xml:space="preserve">307 of the 1976 Code is amended to read: </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t>“Section 37</w:t>
      </w:r>
      <w:r w:rsidRPr="00FF7A74">
        <w:rPr>
          <w:rFonts w:cs="Times New Roman"/>
        </w:rPr>
        <w:noBreakHyphen/>
        <w:t>2</w:t>
      </w:r>
      <w:r w:rsidRPr="00FF7A74">
        <w:rPr>
          <w:rFonts w:cs="Times New Roman"/>
        </w:rPr>
        <w:noBreakHyphen/>
        <w:t>307.</w:t>
      </w:r>
      <w:r w:rsidRPr="00FF7A74">
        <w:rPr>
          <w:rFonts w:cs="Times New Roman"/>
        </w:rPr>
        <w:tab/>
        <w:t>(A)(1)</w:t>
      </w:r>
      <w:r w:rsidRPr="00FF7A74">
        <w:rPr>
          <w:rFonts w:cs="Times New Roman"/>
        </w:rPr>
        <w:tab/>
        <w:t>Every motor vehicle dealer charging closing fees on a motor vehicle sales contract shall pay a one</w:t>
      </w:r>
      <w:r w:rsidRPr="00FF7A74">
        <w:rPr>
          <w:rFonts w:cs="Times New Roman"/>
        </w:rPr>
        <w:noBreakHyphen/>
        <w:t xml:space="preserve">time registration fee of ten dollars during each state fiscal year before January </w:t>
      </w:r>
      <w:r>
        <w:rPr>
          <w:rFonts w:cs="Times New Roman"/>
        </w:rPr>
        <w:t>thirty-first</w:t>
      </w:r>
      <w:r w:rsidRPr="00FF7A74">
        <w:rPr>
          <w:rFonts w:cs="Times New Roman"/>
          <w:vertAlign w:val="superscript"/>
        </w:rPr>
        <w:t xml:space="preserve"> </w:t>
      </w:r>
      <w:r w:rsidRPr="00FF7A74">
        <w:rPr>
          <w:rFonts w:cs="Times New Roman"/>
        </w:rPr>
        <w:t>to the Department of Consumer Affairs.  The department shall set the fee annually in an amount not to exceed twenty</w:t>
      </w:r>
      <w:r w:rsidRPr="00FF7A74">
        <w:rPr>
          <w:rFonts w:cs="Times New Roman"/>
        </w:rPr>
        <w:noBreakHyphen/>
        <w:t>five dollars.</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(2)</w:t>
      </w:r>
      <w:r w:rsidRPr="00FF7A74">
        <w:rPr>
          <w:rFonts w:cs="Times New Roman"/>
        </w:rPr>
        <w:tab/>
        <w:t xml:space="preserve">The closing fee must be included in the advertised price of the motor vehicle, disclosed on the sales contract, and displayed in a conspicuous location in the motor vehicle dealership. </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t>(B)</w:t>
      </w:r>
      <w:r w:rsidRPr="00FF7A74">
        <w:rPr>
          <w:rFonts w:cs="Times New Roman"/>
        </w:rPr>
        <w:tab/>
        <w:t>A closing fee is defined as a fee charged for all administrative and financial work needed to transfer the motor vehicle to the consumer, person, or entity including, but not limited to, compliance with all state, federal, and lender requirements, preparation and retrieval of documents, protection of the private personal information of the consumer, records retention, and storage costs.</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F7A74">
        <w:rPr>
          <w:rFonts w:cs="Times New Roman"/>
        </w:rPr>
        <w:tab/>
        <w:t>(C)(1)</w:t>
      </w:r>
      <w:r w:rsidRPr="00FF7A74">
        <w:rPr>
          <w:rFonts w:cs="Times New Roman"/>
        </w:rPr>
        <w:tab/>
        <w:t xml:space="preserve">Prior to charging a closing fee, a motor vehicle dealer shall provide written notice to the Department of Consumer Affairs of the maximum amount of a closing fee the dealer intends to charge on an annual basis.  The department may review the amount of the closing fee for reasonableness using the criteria in </w:t>
      </w:r>
      <w:r>
        <w:rPr>
          <w:rFonts w:cs="Times New Roman"/>
        </w:rPr>
        <w:t>item</w:t>
      </w:r>
      <w:r w:rsidRPr="00FF7A74">
        <w:rPr>
          <w:rFonts w:cs="Times New Roman"/>
        </w:rPr>
        <w:t xml:space="preserve"> (3) if the maximum amount of the closing fee intended to be charged by a dealer in a vehicle transaction exceeds two hundred twenty</w:t>
      </w:r>
      <w:r w:rsidRPr="00FF7A74">
        <w:rPr>
          <w:rFonts w:cs="Times New Roman"/>
        </w:rPr>
        <w:noBreakHyphen/>
        <w:t>five dollars per vehicle. The department shall not conduct a review of the amount of the closing fee for reasonableness when the maximum amount the dealer intends to charge in a vehicle transaction is not more than two hundred twenty</w:t>
      </w:r>
      <w:r w:rsidRPr="00FF7A74">
        <w:rPr>
          <w:rFonts w:cs="Times New Roman"/>
        </w:rPr>
        <w:noBreakHyphen/>
        <w:t>five dollars per vehicle.  If the department intends to conduct a formal review of a proposed closing fee, the department shall provide written notice to the motor vehicle dealer of the department’s intention to review the proposed closing fee within thirty days of receiving the proposed closing fee notice.  If the department does not provide a motor vehicle dealer with written notice of the department’s intention to review the proposed closing fee within thirty days, the motor vehicle dealer is authorized to charge the proposed closing fee.  If the department determines that a proposed closing fee is not reasonable, the department shall issue a written order detailing the department’s findings.  The department may require the fee to be reduced or require the motor vehicle dealer to submit a new fee for review.  The dealer is at all times authorized to submit a new closing fee that is equal to or less than two hundred twenty</w:t>
      </w:r>
      <w:r w:rsidRPr="00FF7A74">
        <w:rPr>
          <w:rFonts w:cs="Times New Roman"/>
        </w:rPr>
        <w:noBreakHyphen/>
        <w:t>five dollars per vehicle which is not subject to review.  During the pendency of the review period, a motor vehicle dealer is authorized to charge a closing fee at an amount not to exceed the amount most recently on file and permitted to be charged by the department.  If the department finds that a closing fee is not reasonable, the motor vehicle dealer may request a hearing in accordance with the Administrative Procedures Act.</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(2)</w:t>
      </w:r>
      <w:r w:rsidRPr="00FF7A74">
        <w:rPr>
          <w:rFonts w:cs="Times New Roman"/>
        </w:rPr>
        <w:tab/>
        <w:t>If the maximum amount of the closing fee that the dealer intends to charge is not more than two hundred twenty</w:t>
      </w:r>
      <w:r w:rsidRPr="00FF7A74">
        <w:rPr>
          <w:rFonts w:cs="Times New Roman"/>
        </w:rPr>
        <w:noBreakHyphen/>
        <w:t>five dollars per vehicle, the closing fee is deemed approved by the department and the dealer does meet and fulfill all reasonableness requirements and criteria in compliance with the law and this section.</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(3)</w:t>
      </w:r>
      <w:r w:rsidRPr="00FF7A74">
        <w:rPr>
          <w:rFonts w:cs="Times New Roman"/>
        </w:rPr>
        <w:tab/>
        <w:t>In determining the reasonableness of a closing fee, the department shall allow the following items to be included in a reasonable closing fee:</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r>
      <w:r w:rsidRPr="00FF7A74">
        <w:rPr>
          <w:rFonts w:cs="Times New Roman"/>
        </w:rPr>
        <w:tab/>
        <w:t>(a)</w:t>
      </w:r>
      <w:r w:rsidRPr="00FF7A74">
        <w:rPr>
          <w:rFonts w:cs="Times New Roman"/>
        </w:rPr>
        <w:tab/>
        <w:t>all administrative expenses, costs, staff, supplies, materials, and financial work needed to transfer the motor vehicle to the consumer and to procure the closing of the motor vehicle transaction;</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r>
      <w:r w:rsidRPr="00FF7A74">
        <w:rPr>
          <w:rFonts w:cs="Times New Roman"/>
        </w:rPr>
        <w:tab/>
        <w:t>(b)</w:t>
      </w:r>
      <w:r w:rsidRPr="00FF7A74">
        <w:rPr>
          <w:rFonts w:cs="Times New Roman"/>
        </w:rPr>
        <w:tab/>
        <w:t xml:space="preserve">all costs for administrative expenses, costs, staff, supplies, and materials necessary by </w:t>
      </w:r>
      <w:r>
        <w:rPr>
          <w:rFonts w:cs="Times New Roman"/>
        </w:rPr>
        <w:t xml:space="preserve">the </w:t>
      </w:r>
      <w:r w:rsidRPr="00FF7A74">
        <w:rPr>
          <w:rFonts w:cs="Times New Roman"/>
        </w:rPr>
        <w:t>dealer to comply with all state, federal, and lender requirements;</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r>
      <w:r w:rsidRPr="00FF7A74">
        <w:rPr>
          <w:rFonts w:cs="Times New Roman"/>
        </w:rPr>
        <w:tab/>
        <w:t>(c)</w:t>
      </w:r>
      <w:r w:rsidRPr="00FF7A74">
        <w:rPr>
          <w:rFonts w:cs="Times New Roman"/>
        </w:rPr>
        <w:tab/>
        <w:t>all costs for administrative costs, staff, and materials needed for the preparation and retrieval of documents;</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r>
      <w:r w:rsidRPr="00FF7A74">
        <w:rPr>
          <w:rFonts w:cs="Times New Roman"/>
        </w:rPr>
        <w:tab/>
        <w:t>(d)</w:t>
      </w:r>
      <w:r w:rsidRPr="00FF7A74">
        <w:rPr>
          <w:rFonts w:cs="Times New Roman"/>
        </w:rPr>
        <w:tab/>
        <w:t>all costs for administrative costs, staff, supplies, and materials necessary for the protection of the private personal information of the consumer; and</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r>
      <w:r w:rsidRPr="00FF7A74">
        <w:rPr>
          <w:rFonts w:cs="Times New Roman"/>
        </w:rPr>
        <w:tab/>
        <w:t>(e)</w:t>
      </w:r>
      <w:r w:rsidRPr="00FF7A74">
        <w:rPr>
          <w:rFonts w:cs="Times New Roman"/>
        </w:rPr>
        <w:tab/>
        <w:t xml:space="preserve">all costs for administrative costs, staff, supplies, and </w:t>
      </w:r>
      <w:r w:rsidRPr="00FF7A74">
        <w:rPr>
          <w:rFonts w:cs="Times New Roman"/>
          <w:snapToGrid w:val="0"/>
        </w:rPr>
        <w:t>materials necessary for records retention and storage costs of such records.</w:t>
      </w:r>
      <w:r w:rsidRPr="00FF7A74">
        <w:rPr>
          <w:rFonts w:cs="Times New Roman"/>
          <w:snapToGrid w:val="0"/>
        </w:rPr>
        <w:tab/>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t>(D)</w:t>
      </w:r>
      <w:r w:rsidRPr="00FF7A74">
        <w:rPr>
          <w:rFonts w:cs="Times New Roman"/>
        </w:rPr>
        <w:tab/>
        <w:t>Whether the vehicle transaction is a credit sale, consumer lease, or cash transaction:</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(1)</w:t>
      </w:r>
      <w:r w:rsidRPr="00FF7A74">
        <w:rPr>
          <w:rFonts w:cs="Times New Roman"/>
        </w:rPr>
        <w:tab/>
        <w:t>notwithstanding another provision of law, a motor vehicle dealer who complies with this section and any regulation promulgated under it and who charges a closing fee is not engaging in any action which is arbitrary, in bad faith, unconscionable, an unfair or deceptive practice, or an unfair method of competition for purposes of Section</w:t>
      </w:r>
      <w:r>
        <w:rPr>
          <w:rFonts w:cs="Times New Roman"/>
        </w:rPr>
        <w:t>s</w:t>
      </w:r>
      <w:r w:rsidRPr="00FF7A74">
        <w:rPr>
          <w:rFonts w:cs="Times New Roman"/>
        </w:rPr>
        <w:t xml:space="preserve"> 56</w:t>
      </w:r>
      <w:r w:rsidRPr="00FF7A74">
        <w:rPr>
          <w:rFonts w:cs="Times New Roman"/>
        </w:rPr>
        <w:noBreakHyphen/>
        <w:t>15</w:t>
      </w:r>
      <w:r w:rsidRPr="00FF7A74">
        <w:rPr>
          <w:rFonts w:cs="Times New Roman"/>
        </w:rPr>
        <w:noBreakHyphen/>
        <w:t>30 and 56</w:t>
      </w:r>
      <w:r w:rsidRPr="00FF7A74">
        <w:rPr>
          <w:rFonts w:cs="Times New Roman"/>
        </w:rPr>
        <w:noBreakHyphen/>
        <w:t>15</w:t>
      </w:r>
      <w:r w:rsidRPr="00FF7A74">
        <w:rPr>
          <w:rFonts w:cs="Times New Roman"/>
        </w:rPr>
        <w:noBreakHyphen/>
        <w:t>40 with regard to the charging of a closing fee and may lawfully charge a closing fee;</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(2)</w:t>
      </w:r>
      <w:r w:rsidRPr="00FF7A74">
        <w:rPr>
          <w:rFonts w:cs="Times New Roman"/>
        </w:rPr>
        <w:tab/>
        <w:t>a motor vehicle dealer may assert any defenses provided to a creditor pursuant to the provisions of this title; and</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(3)</w:t>
      </w:r>
      <w:r w:rsidRPr="00FF7A74">
        <w:rPr>
          <w:rFonts w:cs="Times New Roman"/>
        </w:rPr>
        <w:tab/>
        <w:t>a purchaser injured or damaged by an action of a motor vehicle dealer in violation of this section or any regulation promulgated thereunder, may assert the remedies available pursuant to the provisions of this title.</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t>(E)(1)</w:t>
      </w:r>
      <w:r w:rsidRPr="00FF7A74">
        <w:rPr>
          <w:rFonts w:cs="Times New Roman"/>
        </w:rPr>
        <w:tab/>
        <w:t>The Department of Consumer Affairs shall administer and enforce the subject of motor vehicle dealer closing fees including, but not limited to, this section.  The department shall make and promulgate such rules and regulations relating to motor vehicle dealer closing fees to administer and enforce this section.  The department shall have access to a motor vehicle dealer’s books, accounts, and records to determine if the dealer is complying with the provisions of this section, and this financial information must be kept confidential and privileged from disclosure, except as provided by law.</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rPr>
        <w:tab/>
      </w:r>
      <w:r w:rsidRPr="00FF7A74">
        <w:rPr>
          <w:rFonts w:cs="Times New Roman"/>
        </w:rPr>
        <w:tab/>
        <w:t>(2)</w:t>
      </w:r>
      <w:r w:rsidRPr="00FF7A74">
        <w:rPr>
          <w:rFonts w:cs="Times New Roman"/>
        </w:rPr>
        <w:tab/>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F7A74">
        <w:rPr>
          <w:rFonts w:cs="Times New Roman"/>
        </w:rPr>
        <w:tab/>
        <w:t>(F)</w:t>
      </w:r>
      <w:r w:rsidRPr="00FF7A74">
        <w:rPr>
          <w:rFonts w:cs="Times New Roman"/>
        </w:rPr>
        <w:tab/>
        <w:t>It is the intent of the General Assembly to authorize a motor vehicle dealer to charge a closing 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r w:rsidRPr="00FF7A74">
        <w:rPr>
          <w:rFonts w:cs="Times New Roman"/>
          <w:u w:color="000000" w:themeColor="text1"/>
        </w:rPr>
        <w:t xml:space="preserve"> </w:t>
      </w: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2829" w:rsidRPr="00C41E72"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2829" w:rsidRPr="00FF7A74"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7A74">
        <w:rPr>
          <w:rFonts w:cs="Times New Roman"/>
          <w:u w:color="000000" w:themeColor="text1"/>
        </w:rPr>
        <w:t>SECTION</w:t>
      </w:r>
      <w:r w:rsidRPr="00FF7A74">
        <w:rPr>
          <w:rFonts w:cs="Times New Roman"/>
          <w:u w:color="000000" w:themeColor="text1"/>
        </w:rPr>
        <w:tab/>
        <w:t>2.</w:t>
      </w:r>
      <w:r w:rsidRPr="00FF7A74">
        <w:rPr>
          <w:rFonts w:cs="Times New Roman"/>
          <w:u w:color="000000" w:themeColor="text1"/>
        </w:rPr>
        <w:tab/>
        <w:t>This act takes effect upon approval by the Governor; provided, however, a motor vehicle dealer must be allowed an additional period of thirty days from the effective date to comply with Section 37</w:t>
      </w:r>
      <w:r w:rsidRPr="00FF7A74">
        <w:rPr>
          <w:rFonts w:cs="Times New Roman"/>
          <w:u w:color="000000" w:themeColor="text1"/>
        </w:rPr>
        <w:noBreakHyphen/>
        <w:t>2</w:t>
      </w:r>
      <w:r w:rsidRPr="00FF7A74">
        <w:rPr>
          <w:rFonts w:cs="Times New Roman"/>
          <w:u w:color="000000" w:themeColor="text1"/>
        </w:rPr>
        <w:noBreakHyphen/>
        <w:t>307(C).</w:t>
      </w: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22829" w:rsidRDefault="00322829"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322829" w:rsidRDefault="00322829" w:rsidP="00322829">
      <w:pPr>
        <w:jc w:val="both"/>
        <w:rPr>
          <w:color w:val="000000" w:themeColor="text1"/>
        </w:rPr>
      </w:pPr>
    </w:p>
    <w:p w:rsidR="00322829" w:rsidRDefault="00322829" w:rsidP="00322829">
      <w:pPr>
        <w:jc w:val="both"/>
        <w:rPr>
          <w:color w:val="000000" w:themeColor="text1"/>
        </w:rPr>
      </w:pPr>
      <w:r>
        <w:rPr>
          <w:color w:val="000000" w:themeColor="text1"/>
        </w:rPr>
        <w:t>Approved the 3</w:t>
      </w:r>
      <w:r w:rsidRPr="0013432A">
        <w:rPr>
          <w:color w:val="000000" w:themeColor="text1"/>
          <w:vertAlign w:val="superscript"/>
        </w:rPr>
        <w:t>rd</w:t>
      </w:r>
      <w:r>
        <w:rPr>
          <w:color w:val="000000" w:themeColor="text1"/>
        </w:rPr>
        <w:t xml:space="preserve"> day of June, 2016. </w:t>
      </w:r>
    </w:p>
    <w:p w:rsidR="00322829" w:rsidRDefault="00322829" w:rsidP="00322829">
      <w:pPr>
        <w:jc w:val="center"/>
        <w:rPr>
          <w:color w:val="000000" w:themeColor="text1"/>
        </w:rPr>
      </w:pPr>
    </w:p>
    <w:p w:rsidR="00322829" w:rsidRDefault="00322829" w:rsidP="00322829">
      <w:pPr>
        <w:jc w:val="center"/>
        <w:rPr>
          <w:color w:val="000000" w:themeColor="text1"/>
        </w:rPr>
      </w:pPr>
      <w:r>
        <w:rPr>
          <w:color w:val="000000" w:themeColor="text1"/>
        </w:rPr>
        <w:t>__________</w:t>
      </w:r>
    </w:p>
    <w:p w:rsidR="00B726A4" w:rsidRPr="004C7F12" w:rsidRDefault="00B726A4" w:rsidP="00322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726A4" w:rsidRPr="004C7F12" w:rsidSect="00B726A4">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365" w:rsidRDefault="00910365" w:rsidP="007D5FAC">
      <w:r>
        <w:separator/>
      </w:r>
    </w:p>
  </w:endnote>
  <w:endnote w:type="continuationSeparator" w:id="0">
    <w:p w:rsidR="00910365" w:rsidRDefault="0091036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A4" w:rsidRPr="00B726A4" w:rsidRDefault="00B726A4" w:rsidP="00B726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E5C5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6A4" w:rsidRDefault="00B72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365" w:rsidRDefault="00910365" w:rsidP="007D5FAC">
      <w:r>
        <w:separator/>
      </w:r>
    </w:p>
  </w:footnote>
  <w:footnote w:type="continuationSeparator" w:id="0">
    <w:p w:rsidR="00910365" w:rsidRDefault="0091036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548"/>
    <w:docVar w:name="ActSecretary" w:val="Downey"/>
    <w:docVar w:name="ActSIdno" w:val="(141)  4548CZ16"/>
    <w:docVar w:name="clipname" w:val="4548CZ16"/>
    <w:docVar w:name="dvBillNumber" w:val="4548"/>
    <w:docVar w:name="dvBillNumberPrefix" w:val="H"/>
    <w:docVar w:name="dvOriginalBody" w:val="House"/>
    <w:docVar w:name="HOUSEACTFULLPATH" w:val="L:\COUNCIL\ACTS\4548CZ16.DOCX"/>
    <w:docVar w:name="OrigHOUSEBillNo" w:val="4548"/>
    <w:docVar w:name="WhatActtype" w:val="AN ACT"/>
  </w:docVars>
  <w:rsids>
    <w:rsidRoot w:val="00910365"/>
    <w:rsid w:val="00002DE0"/>
    <w:rsid w:val="00020349"/>
    <w:rsid w:val="00020977"/>
    <w:rsid w:val="00021B0B"/>
    <w:rsid w:val="00040C05"/>
    <w:rsid w:val="0004579B"/>
    <w:rsid w:val="00051B4F"/>
    <w:rsid w:val="00060E60"/>
    <w:rsid w:val="00063404"/>
    <w:rsid w:val="000673E4"/>
    <w:rsid w:val="0007088D"/>
    <w:rsid w:val="000731E9"/>
    <w:rsid w:val="00074565"/>
    <w:rsid w:val="00076A1A"/>
    <w:rsid w:val="00077DA3"/>
    <w:rsid w:val="00081300"/>
    <w:rsid w:val="00085C37"/>
    <w:rsid w:val="00092EE6"/>
    <w:rsid w:val="00092F0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584F"/>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6A4"/>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2829"/>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72A"/>
    <w:rsid w:val="003D2A73"/>
    <w:rsid w:val="003D5D65"/>
    <w:rsid w:val="003E2FE8"/>
    <w:rsid w:val="00400828"/>
    <w:rsid w:val="00412B47"/>
    <w:rsid w:val="004157C4"/>
    <w:rsid w:val="0041760A"/>
    <w:rsid w:val="00417A9C"/>
    <w:rsid w:val="00423310"/>
    <w:rsid w:val="0042753D"/>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7F12"/>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F2E"/>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14B"/>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5C52"/>
    <w:rsid w:val="006F22C0"/>
    <w:rsid w:val="006F290C"/>
    <w:rsid w:val="007009F2"/>
    <w:rsid w:val="00703D30"/>
    <w:rsid w:val="00704FF9"/>
    <w:rsid w:val="007052EC"/>
    <w:rsid w:val="00706B65"/>
    <w:rsid w:val="007261EE"/>
    <w:rsid w:val="00733A16"/>
    <w:rsid w:val="00733C4C"/>
    <w:rsid w:val="00737039"/>
    <w:rsid w:val="007373C7"/>
    <w:rsid w:val="00737819"/>
    <w:rsid w:val="00740BEB"/>
    <w:rsid w:val="007469F9"/>
    <w:rsid w:val="0074783A"/>
    <w:rsid w:val="007514EF"/>
    <w:rsid w:val="00765D0A"/>
    <w:rsid w:val="007746C2"/>
    <w:rsid w:val="00775B87"/>
    <w:rsid w:val="00784A23"/>
    <w:rsid w:val="007946C3"/>
    <w:rsid w:val="007A050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07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0365"/>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0B74"/>
    <w:rsid w:val="00A14F94"/>
    <w:rsid w:val="00A23CED"/>
    <w:rsid w:val="00A258F3"/>
    <w:rsid w:val="00A25E64"/>
    <w:rsid w:val="00A26387"/>
    <w:rsid w:val="00A3022E"/>
    <w:rsid w:val="00A32D49"/>
    <w:rsid w:val="00A377BB"/>
    <w:rsid w:val="00A46627"/>
    <w:rsid w:val="00A475E8"/>
    <w:rsid w:val="00A61397"/>
    <w:rsid w:val="00A62F8F"/>
    <w:rsid w:val="00A64E80"/>
    <w:rsid w:val="00A73974"/>
    <w:rsid w:val="00A74007"/>
    <w:rsid w:val="00A852F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96D"/>
    <w:rsid w:val="00AD107E"/>
    <w:rsid w:val="00AD33E6"/>
    <w:rsid w:val="00AD4887"/>
    <w:rsid w:val="00AE4DFB"/>
    <w:rsid w:val="00AF08CD"/>
    <w:rsid w:val="00AF2080"/>
    <w:rsid w:val="00AF3196"/>
    <w:rsid w:val="00AF3FED"/>
    <w:rsid w:val="00AF6432"/>
    <w:rsid w:val="00AF7929"/>
    <w:rsid w:val="00AF7A83"/>
    <w:rsid w:val="00B0389E"/>
    <w:rsid w:val="00B11270"/>
    <w:rsid w:val="00B13981"/>
    <w:rsid w:val="00B303AC"/>
    <w:rsid w:val="00B374C4"/>
    <w:rsid w:val="00B408FD"/>
    <w:rsid w:val="00B4797F"/>
    <w:rsid w:val="00B516BA"/>
    <w:rsid w:val="00B520A2"/>
    <w:rsid w:val="00B60515"/>
    <w:rsid w:val="00B62CAB"/>
    <w:rsid w:val="00B678FA"/>
    <w:rsid w:val="00B726A4"/>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76C"/>
    <w:rsid w:val="00C34674"/>
    <w:rsid w:val="00C3483A"/>
    <w:rsid w:val="00C41E72"/>
    <w:rsid w:val="00C45263"/>
    <w:rsid w:val="00C46AB4"/>
    <w:rsid w:val="00C55195"/>
    <w:rsid w:val="00C7071A"/>
    <w:rsid w:val="00C748CB"/>
    <w:rsid w:val="00C74E9D"/>
    <w:rsid w:val="00C81812"/>
    <w:rsid w:val="00C837F6"/>
    <w:rsid w:val="00C852DE"/>
    <w:rsid w:val="00C92B7D"/>
    <w:rsid w:val="00C94E59"/>
    <w:rsid w:val="00C97CB8"/>
    <w:rsid w:val="00CA4CD7"/>
    <w:rsid w:val="00CA5358"/>
    <w:rsid w:val="00CA7497"/>
    <w:rsid w:val="00CB08A1"/>
    <w:rsid w:val="00CB12FE"/>
    <w:rsid w:val="00CC2825"/>
    <w:rsid w:val="00CD419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D5A"/>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07DE"/>
    <w:rsid w:val="00DD2595"/>
    <w:rsid w:val="00DD314B"/>
    <w:rsid w:val="00DD3B8D"/>
    <w:rsid w:val="00DD5167"/>
    <w:rsid w:val="00DD557D"/>
    <w:rsid w:val="00DF0E69"/>
    <w:rsid w:val="00DF2102"/>
    <w:rsid w:val="00E00FC9"/>
    <w:rsid w:val="00E02CA8"/>
    <w:rsid w:val="00E0650C"/>
    <w:rsid w:val="00E06B5E"/>
    <w:rsid w:val="00E076BB"/>
    <w:rsid w:val="00E140B1"/>
    <w:rsid w:val="00E14905"/>
    <w:rsid w:val="00E33964"/>
    <w:rsid w:val="00E33DFF"/>
    <w:rsid w:val="00E3462F"/>
    <w:rsid w:val="00E36231"/>
    <w:rsid w:val="00E4081E"/>
    <w:rsid w:val="00E500F1"/>
    <w:rsid w:val="00E5358E"/>
    <w:rsid w:val="00E60357"/>
    <w:rsid w:val="00E61B4C"/>
    <w:rsid w:val="00E71D4E"/>
    <w:rsid w:val="00E757F4"/>
    <w:rsid w:val="00E83B91"/>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5ED7777-819B-44FE-B81B-B89FD180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726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852D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726A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038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2-23-16.docx" TargetMode="External"/><Relationship Id="rId18" Type="http://schemas.openxmlformats.org/officeDocument/2006/relationships/hyperlink" Target="file:///h:\SJ%20Archive\2016\04-12-16.docx" TargetMode="External"/><Relationship Id="rId26" Type="http://schemas.openxmlformats.org/officeDocument/2006/relationships/hyperlink" Target="file:///h:\HJ%20Archive\2016\05-26-16.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Archive\2016\05-17-16.docx" TargetMode="External"/><Relationship Id="rId34" Type="http://schemas.openxmlformats.org/officeDocument/2006/relationships/hyperlink" Target="file:///p:\pprever\2015-16\4548_20160412.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2-23-16.docx" TargetMode="External"/><Relationship Id="rId17" Type="http://schemas.openxmlformats.org/officeDocument/2006/relationships/hyperlink" Target="file:///h:\SJ%20Archive\2016\03-02-16.docx" TargetMode="External"/><Relationship Id="rId25" Type="http://schemas.openxmlformats.org/officeDocument/2006/relationships/hyperlink" Target="file:///h:\HJ%20Archive\2016\05-26-16.docx" TargetMode="External"/><Relationship Id="rId33" Type="http://schemas.openxmlformats.org/officeDocument/2006/relationships/hyperlink" Target="file:///p:\pprever\2015-16\4548_20160303.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2-25-16.docx" TargetMode="External"/><Relationship Id="rId20" Type="http://schemas.openxmlformats.org/officeDocument/2006/relationships/hyperlink" Target="file:///h:\SJ%20Archive\2016\05-11-16.docx" TargetMode="External"/><Relationship Id="rId29" Type="http://schemas.openxmlformats.org/officeDocument/2006/relationships/hyperlink" Target="file:///p:\pprever\2015-16\4548_20160210.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23-16.docx" TargetMode="External"/><Relationship Id="rId24" Type="http://schemas.openxmlformats.org/officeDocument/2006/relationships/hyperlink" Target="file:///h:\SJ%20Archive\2016\05-19-16.docx" TargetMode="External"/><Relationship Id="rId32" Type="http://schemas.openxmlformats.org/officeDocument/2006/relationships/hyperlink" Target="file:///p:\pprever\2015-16\4548_20160302.docx" TargetMode="External"/><Relationship Id="rId37" Type="http://schemas.openxmlformats.org/officeDocument/2006/relationships/hyperlink" Target="file:///p:\pprever\2015-16\4548_20160517.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2-25-16.docx" TargetMode="External"/><Relationship Id="rId23" Type="http://schemas.openxmlformats.org/officeDocument/2006/relationships/hyperlink" Target="file:///h:\SJ%20Archive\2016\05-17-16.docx" TargetMode="External"/><Relationship Id="rId28" Type="http://schemas.openxmlformats.org/officeDocument/2006/relationships/hyperlink" Target="file:///p:\pprever\2015-16\4548_20151210.docx" TargetMode="External"/><Relationship Id="rId36" Type="http://schemas.openxmlformats.org/officeDocument/2006/relationships/hyperlink" Target="file:///p:\pprever\2015-16\4548_20160413A.docx" TargetMode="External"/><Relationship Id="rId10" Type="http://schemas.openxmlformats.org/officeDocument/2006/relationships/hyperlink" Target="file:///h:\HJ%20Archive\2016\02-11-16.docx" TargetMode="External"/><Relationship Id="rId19" Type="http://schemas.openxmlformats.org/officeDocument/2006/relationships/hyperlink" Target="file:///h:\SJ%20Archive\2016\04-13-16.docx" TargetMode="External"/><Relationship Id="rId31" Type="http://schemas.openxmlformats.org/officeDocument/2006/relationships/hyperlink" Target="file:///p:\pprever\2015-16\4548_20160224.docx" TargetMode="External"/><Relationship Id="rId4" Type="http://schemas.openxmlformats.org/officeDocument/2006/relationships/webSettings" Target="webSettings.xml"/><Relationship Id="rId9" Type="http://schemas.openxmlformats.org/officeDocument/2006/relationships/hyperlink" Target="file:///h:\HJ%20Archive\2016\02-10-16.docx" TargetMode="External"/><Relationship Id="rId14" Type="http://schemas.openxmlformats.org/officeDocument/2006/relationships/hyperlink" Target="file:///h:\HJ%20Archive\2016\02-25-16.docx" TargetMode="External"/><Relationship Id="rId22" Type="http://schemas.openxmlformats.org/officeDocument/2006/relationships/hyperlink" Target="file:///h:\SJ%20Archive\2016\05-17-16.docx" TargetMode="External"/><Relationship Id="rId27" Type="http://schemas.openxmlformats.org/officeDocument/2006/relationships/hyperlink" Target="http://www.scstatehouse.gov/billsearch.php?billnumbers=4548&amp;session=121&amp;summary=B" TargetMode="External"/><Relationship Id="rId30" Type="http://schemas.openxmlformats.org/officeDocument/2006/relationships/hyperlink" Target="file:///p:\pprever\2015-16\4548_20160223.docx" TargetMode="External"/><Relationship Id="rId35" Type="http://schemas.openxmlformats.org/officeDocument/2006/relationships/hyperlink" Target="file:///p:\pprever\2015-16\4548_201604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7A6C-491B-4A04-9AF3-A5F92D12C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4548: Closing fees on motor vehicle sales contract - South Carolina Legislature Online</dc:title>
  <dc:subject/>
  <dc:creator>%USERNAME%</dc:creator>
  <cp:keywords/>
  <dc:description/>
  <cp:lastModifiedBy>N Cumfer</cp:lastModifiedBy>
  <cp:revision>2</cp:revision>
  <cp:lastPrinted>2016-05-26T20:28:00Z</cp:lastPrinted>
  <dcterms:created xsi:type="dcterms:W3CDTF">2016-12-02T19:12:00Z</dcterms:created>
  <dcterms:modified xsi:type="dcterms:W3CDTF">2016-12-02T19:12:00Z</dcterms:modified>
</cp:coreProperties>
</file>