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84F" w:rsidRDefault="00E9784F" w:rsidP="00E9784F">
      <w:pPr>
        <w:widowControl w:val="0"/>
        <w:jc w:val="center"/>
      </w:pPr>
      <w:bookmarkStart w:id="0" w:name="_GoBack"/>
      <w:bookmarkEnd w:id="0"/>
      <w:r w:rsidRPr="00E9784F">
        <w:rPr>
          <w:b/>
        </w:rPr>
        <w:t>South Carolina General Assembly</w:t>
      </w:r>
    </w:p>
    <w:p w:rsidR="00E9784F" w:rsidRDefault="00E9784F" w:rsidP="00E9784F">
      <w:pPr>
        <w:widowControl w:val="0"/>
        <w:jc w:val="center"/>
      </w:pPr>
      <w:r>
        <w:t>121st Session, 2015-2016</w:t>
      </w:r>
    </w:p>
    <w:p w:rsidR="00E9784F" w:rsidRDefault="00E9784F" w:rsidP="00E9784F">
      <w:pPr>
        <w:widowControl w:val="0"/>
        <w:jc w:val="left"/>
      </w:pPr>
    </w:p>
    <w:p w:rsidR="00E9784F" w:rsidRDefault="00E9784F" w:rsidP="00E9784F">
      <w:pPr>
        <w:widowControl w:val="0"/>
        <w:jc w:val="left"/>
        <w:rPr>
          <w:b/>
        </w:rPr>
      </w:pPr>
      <w:r w:rsidRPr="00E9784F">
        <w:rPr>
          <w:b/>
        </w:rPr>
        <w:t>H. 4793</w:t>
      </w:r>
    </w:p>
    <w:p w:rsidR="00E9784F" w:rsidRDefault="00E9784F" w:rsidP="00E9784F">
      <w:pPr>
        <w:widowControl w:val="0"/>
        <w:jc w:val="left"/>
        <w:rPr>
          <w:b/>
        </w:rPr>
      </w:pPr>
    </w:p>
    <w:p w:rsidR="00E9784F" w:rsidRDefault="00E9784F" w:rsidP="00E9784F">
      <w:pPr>
        <w:widowControl w:val="0"/>
        <w:jc w:val="left"/>
      </w:pPr>
      <w:r w:rsidRPr="00E9784F">
        <w:rPr>
          <w:b/>
        </w:rPr>
        <w:t>STATUS INFORMATION</w:t>
      </w:r>
    </w:p>
    <w:p w:rsidR="00E9784F" w:rsidRDefault="00E9784F" w:rsidP="00E9784F">
      <w:pPr>
        <w:widowControl w:val="0"/>
        <w:jc w:val="left"/>
      </w:pPr>
    </w:p>
    <w:p w:rsidR="00E9784F" w:rsidRDefault="00E9784F" w:rsidP="00E9784F">
      <w:pPr>
        <w:widowControl w:val="0"/>
        <w:jc w:val="left"/>
      </w:pPr>
      <w:r>
        <w:t>General Bill</w:t>
      </w:r>
    </w:p>
    <w:p w:rsidR="00E9784F" w:rsidRDefault="00E9784F" w:rsidP="00E9784F">
      <w:pPr>
        <w:widowControl w:val="0"/>
        <w:jc w:val="left"/>
      </w:pPr>
      <w:r>
        <w:t>Sponsors: Reps. Bedingfield and Lucas</w:t>
      </w:r>
    </w:p>
    <w:p w:rsidR="00E9784F" w:rsidRDefault="00E9784F" w:rsidP="00E9784F">
      <w:pPr>
        <w:widowControl w:val="0"/>
        <w:jc w:val="left"/>
      </w:pPr>
      <w:r>
        <w:t>Document Path: l:\council\bills\dka\3159sa16.docx</w:t>
      </w:r>
    </w:p>
    <w:p w:rsidR="00E9784F" w:rsidRDefault="00E9784F" w:rsidP="00E9784F">
      <w:pPr>
        <w:widowControl w:val="0"/>
        <w:jc w:val="left"/>
      </w:pPr>
    </w:p>
    <w:p w:rsidR="00E9784F" w:rsidRDefault="00E9784F" w:rsidP="00E9784F">
      <w:pPr>
        <w:widowControl w:val="0"/>
        <w:jc w:val="left"/>
      </w:pPr>
      <w:r>
        <w:t>Introduced in the House on January 28, 2016</w:t>
      </w:r>
    </w:p>
    <w:p w:rsidR="00E9784F" w:rsidRDefault="00E9784F" w:rsidP="00E9784F">
      <w:pPr>
        <w:widowControl w:val="0"/>
        <w:jc w:val="left"/>
      </w:pPr>
      <w:r>
        <w:t xml:space="preserve">Currently residing in the House Committee on </w:t>
      </w:r>
      <w:r w:rsidRPr="00E9784F">
        <w:rPr>
          <w:b/>
        </w:rPr>
        <w:t>Judiciary</w:t>
      </w:r>
    </w:p>
    <w:p w:rsidR="00E9784F" w:rsidRDefault="00E9784F" w:rsidP="00E9784F">
      <w:pPr>
        <w:widowControl w:val="0"/>
        <w:jc w:val="left"/>
      </w:pPr>
    </w:p>
    <w:p w:rsidR="00E9784F" w:rsidRDefault="00E9784F" w:rsidP="00E9784F">
      <w:pPr>
        <w:widowControl w:val="0"/>
        <w:jc w:val="left"/>
      </w:pPr>
      <w:r>
        <w:t xml:space="preserve">Summary: </w:t>
      </w:r>
      <w:r w:rsidR="00F55E0B">
        <w:t>Auxiliary containers</w:t>
      </w:r>
    </w:p>
    <w:p w:rsidR="00E9784F" w:rsidRDefault="00E9784F" w:rsidP="00E9784F">
      <w:pPr>
        <w:widowControl w:val="0"/>
        <w:jc w:val="left"/>
      </w:pPr>
    </w:p>
    <w:p w:rsidR="00E9784F" w:rsidRDefault="00E9784F" w:rsidP="00E9784F">
      <w:pPr>
        <w:widowControl w:val="0"/>
        <w:jc w:val="left"/>
      </w:pPr>
    </w:p>
    <w:p w:rsidR="00E9784F" w:rsidRDefault="00E9784F" w:rsidP="00E9784F">
      <w:pPr>
        <w:widowControl w:val="0"/>
        <w:tabs>
          <w:tab w:val="center" w:pos="590"/>
          <w:tab w:val="center" w:pos="1440"/>
          <w:tab w:val="left" w:pos="1872"/>
          <w:tab w:val="left" w:pos="9187"/>
        </w:tabs>
        <w:jc w:val="left"/>
      </w:pPr>
      <w:r w:rsidRPr="00E9784F">
        <w:rPr>
          <w:b/>
        </w:rPr>
        <w:t>HISTORY OF LEGISLATIVE ACTIONS</w:t>
      </w:r>
    </w:p>
    <w:p w:rsidR="00E9784F" w:rsidRDefault="00E9784F" w:rsidP="00E9784F">
      <w:pPr>
        <w:widowControl w:val="0"/>
        <w:tabs>
          <w:tab w:val="center" w:pos="590"/>
          <w:tab w:val="center" w:pos="1440"/>
          <w:tab w:val="left" w:pos="1872"/>
          <w:tab w:val="left" w:pos="9187"/>
        </w:tabs>
        <w:jc w:val="left"/>
      </w:pPr>
    </w:p>
    <w:p w:rsidR="00E9784F" w:rsidRPr="00E9784F" w:rsidRDefault="00E9784F" w:rsidP="00E9784F">
      <w:pPr>
        <w:widowControl w:val="0"/>
        <w:tabs>
          <w:tab w:val="center" w:pos="590"/>
          <w:tab w:val="center" w:pos="1440"/>
          <w:tab w:val="left" w:pos="1872"/>
          <w:tab w:val="left" w:pos="9187"/>
        </w:tabs>
        <w:jc w:val="left"/>
      </w:pPr>
      <w:r w:rsidRPr="00E9784F">
        <w:rPr>
          <w:u w:val="single"/>
        </w:rPr>
        <w:tab/>
        <w:t>Date</w:t>
      </w:r>
      <w:r w:rsidRPr="00E9784F">
        <w:rPr>
          <w:u w:val="single"/>
        </w:rPr>
        <w:tab/>
        <w:t>Body</w:t>
      </w:r>
      <w:r w:rsidRPr="00E9784F">
        <w:rPr>
          <w:u w:val="single"/>
        </w:rPr>
        <w:tab/>
        <w:t>Action Description with journal page number</w:t>
      </w:r>
      <w:r w:rsidRPr="00E9784F">
        <w:rPr>
          <w:u w:val="single"/>
        </w:rPr>
        <w:tab/>
      </w:r>
    </w:p>
    <w:p w:rsidR="006E2773" w:rsidRDefault="006E2773" w:rsidP="006E2773">
      <w:pPr>
        <w:widowControl w:val="0"/>
        <w:tabs>
          <w:tab w:val="right" w:pos="1008"/>
          <w:tab w:val="left" w:pos="1152"/>
          <w:tab w:val="left" w:pos="1872"/>
          <w:tab w:val="left" w:pos="9187"/>
        </w:tabs>
        <w:ind w:left="2088" w:hanging="2088"/>
        <w:jc w:val="left"/>
      </w:pPr>
      <w:r>
        <w:tab/>
        <w:t>1/28/2016</w:t>
      </w:r>
      <w:r>
        <w:tab/>
        <w:t>House</w:t>
      </w:r>
      <w:r>
        <w:tab/>
      </w:r>
      <w:r w:rsidRPr="0018001B">
        <w:t>Introduced and read first time (</w:t>
      </w:r>
      <w:hyperlink r:id="rId7" w:history="1">
        <w:r w:rsidRPr="00612F5F">
          <w:rPr>
            <w:rStyle w:val="Hyperlink"/>
          </w:rPr>
          <w:t>House Journal</w:t>
        </w:r>
        <w:r w:rsidRPr="00612F5F">
          <w:rPr>
            <w:rStyle w:val="Hyperlink"/>
          </w:rPr>
          <w:noBreakHyphen/>
          <w:t>page 15</w:t>
        </w:r>
      </w:hyperlink>
      <w:r w:rsidRPr="0018001B">
        <w:t>)</w:t>
      </w:r>
    </w:p>
    <w:p w:rsidR="006E2773" w:rsidRDefault="006E2773" w:rsidP="006E2773">
      <w:pPr>
        <w:widowControl w:val="0"/>
        <w:tabs>
          <w:tab w:val="right" w:pos="1008"/>
          <w:tab w:val="left" w:pos="1152"/>
          <w:tab w:val="left" w:pos="1872"/>
          <w:tab w:val="left" w:pos="9187"/>
        </w:tabs>
        <w:ind w:left="2088" w:hanging="2088"/>
        <w:jc w:val="left"/>
      </w:pPr>
      <w:r>
        <w:tab/>
        <w:t>1/28/2016</w:t>
      </w:r>
      <w:r>
        <w:tab/>
        <w:t>House</w:t>
      </w:r>
      <w:r>
        <w:tab/>
      </w:r>
      <w:r w:rsidRPr="0018001B">
        <w:t>Referred to Com</w:t>
      </w:r>
      <w:r>
        <w:t xml:space="preserve">mittee on </w:t>
      </w:r>
      <w:r w:rsidRPr="0018001B">
        <w:rPr>
          <w:b/>
        </w:rPr>
        <w:t>Judiciary</w:t>
      </w:r>
      <w:r>
        <w:t xml:space="preserve"> </w:t>
      </w:r>
      <w:r w:rsidRPr="0018001B">
        <w:t>(</w:t>
      </w:r>
      <w:hyperlink r:id="rId8" w:history="1">
        <w:r w:rsidRPr="00612F5F">
          <w:rPr>
            <w:rStyle w:val="Hyperlink"/>
          </w:rPr>
          <w:t>House Journal</w:t>
        </w:r>
        <w:r w:rsidRPr="00612F5F">
          <w:rPr>
            <w:rStyle w:val="Hyperlink"/>
          </w:rPr>
          <w:noBreakHyphen/>
          <w:t>page 15</w:t>
        </w:r>
      </w:hyperlink>
      <w:r w:rsidRPr="0018001B">
        <w:t>)</w:t>
      </w:r>
    </w:p>
    <w:p w:rsidR="006E2773" w:rsidRDefault="006E2773" w:rsidP="006E2773">
      <w:pPr>
        <w:widowControl w:val="0"/>
        <w:tabs>
          <w:tab w:val="right" w:pos="1008"/>
          <w:tab w:val="left" w:pos="1152"/>
          <w:tab w:val="left" w:pos="1872"/>
          <w:tab w:val="left" w:pos="9187"/>
        </w:tabs>
        <w:ind w:left="2088" w:hanging="2088"/>
        <w:jc w:val="left"/>
      </w:pPr>
    </w:p>
    <w:p w:rsidR="00E9784F" w:rsidRDefault="00E9784F" w:rsidP="00E9784F">
      <w:pPr>
        <w:widowControl w:val="0"/>
        <w:tabs>
          <w:tab w:val="right" w:pos="1008"/>
          <w:tab w:val="left" w:pos="1152"/>
          <w:tab w:val="left" w:pos="1872"/>
          <w:tab w:val="left" w:pos="9187"/>
        </w:tabs>
        <w:ind w:left="2088" w:hanging="2088"/>
        <w:jc w:val="left"/>
      </w:pPr>
      <w:r>
        <w:t xml:space="preserve">View the latest </w:t>
      </w:r>
      <w:hyperlink r:id="rId9" w:history="1">
        <w:r w:rsidRPr="00E9784F">
          <w:rPr>
            <w:rStyle w:val="Hyperlink"/>
          </w:rPr>
          <w:t>legislative information</w:t>
        </w:r>
      </w:hyperlink>
      <w:r>
        <w:t xml:space="preserve"> at the website</w:t>
      </w:r>
    </w:p>
    <w:p w:rsidR="00E9784F" w:rsidRDefault="00E9784F" w:rsidP="00E9784F">
      <w:pPr>
        <w:widowControl w:val="0"/>
        <w:tabs>
          <w:tab w:val="right" w:pos="1008"/>
          <w:tab w:val="left" w:pos="1152"/>
          <w:tab w:val="left" w:pos="1872"/>
          <w:tab w:val="left" w:pos="9187"/>
        </w:tabs>
        <w:ind w:left="2088" w:hanging="2088"/>
        <w:jc w:val="left"/>
      </w:pPr>
    </w:p>
    <w:p w:rsidR="00E9784F" w:rsidRPr="00E9784F" w:rsidRDefault="00E9784F" w:rsidP="00E9784F">
      <w:pPr>
        <w:widowControl w:val="0"/>
        <w:tabs>
          <w:tab w:val="right" w:pos="1008"/>
          <w:tab w:val="left" w:pos="1152"/>
          <w:tab w:val="left" w:pos="1872"/>
          <w:tab w:val="left" w:pos="9187"/>
        </w:tabs>
        <w:ind w:left="2088" w:hanging="2088"/>
        <w:jc w:val="left"/>
      </w:pPr>
    </w:p>
    <w:p w:rsidR="00E9784F" w:rsidRDefault="00E9784F" w:rsidP="00E9784F">
      <w:pPr>
        <w:widowControl w:val="0"/>
        <w:jc w:val="left"/>
      </w:pPr>
      <w:r w:rsidRPr="00E9784F">
        <w:rPr>
          <w:b/>
        </w:rPr>
        <w:t>VERSIONS OF THIS BILL</w:t>
      </w:r>
    </w:p>
    <w:p w:rsidR="00E9784F" w:rsidRDefault="00E9784F" w:rsidP="00E9784F">
      <w:pPr>
        <w:widowControl w:val="0"/>
        <w:jc w:val="left"/>
      </w:pPr>
    </w:p>
    <w:p w:rsidR="00E9784F" w:rsidRDefault="00612F5F" w:rsidP="00E9784F">
      <w:pPr>
        <w:widowControl w:val="0"/>
        <w:jc w:val="left"/>
      </w:pPr>
      <w:hyperlink r:id="rId10" w:history="1">
        <w:r w:rsidR="00E9784F">
          <w:rPr>
            <w:rStyle w:val="Hyperlink"/>
          </w:rPr>
          <w:t>1/28/2016</w:t>
        </w:r>
      </w:hyperlink>
    </w:p>
    <w:p w:rsidR="00E9784F" w:rsidRDefault="00E9784F" w:rsidP="00E9784F"/>
    <w:p w:rsidR="00E9784F" w:rsidRDefault="00E9784F" w:rsidP="00E9784F">
      <w:pPr>
        <w:sectPr w:rsidR="00E9784F" w:rsidSect="00E9784F">
          <w:pgSz w:w="12240" w:h="15840" w:code="1"/>
          <w:pgMar w:top="1080" w:right="1440" w:bottom="1080" w:left="1440" w:header="720" w:footer="720" w:gutter="0"/>
          <w:cols w:space="720"/>
          <w:noEndnote/>
          <w:docGrid w:linePitch="360"/>
        </w:sectPr>
      </w:pPr>
    </w:p>
    <w:p w:rsidR="00B245B0" w:rsidRDefault="00B245B0"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9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92D" w:rsidRDefault="007D1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92D" w:rsidRDefault="007D1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C3" w:rsidRPr="00D7093F" w:rsidRDefault="007D192D"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71C3" w:rsidRPr="00D7093F">
        <w:rPr>
          <w:color w:val="000000" w:themeColor="text1"/>
          <w:u w:color="000000" w:themeColor="text1"/>
        </w:rPr>
        <w:t>Title 39 of the 1976 Code is amended by adding:</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7271C3"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Pr="007271C3">
        <w:rPr>
          <w:color w:val="000000" w:themeColor="text1"/>
          <w:u w:color="000000" w:themeColor="text1"/>
        </w:rPr>
        <w:t>’</w:t>
      </w:r>
      <w:r w:rsidRPr="00D7093F">
        <w:rPr>
          <w:color w:val="000000" w:themeColor="text1"/>
          <w:u w:color="000000" w:themeColor="text1"/>
        </w:rPr>
        <w:t xml:space="preserve">s economy;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 xml:space="preserve">if individual political subdivisions of the </w:t>
      </w:r>
      <w:r w:rsidR="00FB52AB" w:rsidRPr="00D7093F">
        <w:rPr>
          <w:color w:val="000000" w:themeColor="text1"/>
          <w:u w:color="000000" w:themeColor="text1"/>
        </w:rPr>
        <w:t xml:space="preserve">State </w:t>
      </w:r>
      <w:r w:rsidRPr="00D7093F">
        <w:rPr>
          <w:color w:val="000000" w:themeColor="text1"/>
          <w:u w:color="000000" w:themeColor="text1"/>
        </w:rPr>
        <w:t>regulate auxiliary containers, there exists the potential for varying regulations which could lead to unnecessary increased costs for retail and food establishments to comply with the regulations.</w:t>
      </w:r>
    </w:p>
    <w:p w:rsidR="007271C3"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t>2</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As used in this chapter, </w:t>
      </w:r>
      <w:r w:rsidRPr="007271C3">
        <w:rPr>
          <w:color w:val="000000" w:themeColor="text1"/>
          <w:u w:color="000000" w:themeColor="text1"/>
        </w:rPr>
        <w:t>‘</w:t>
      </w:r>
      <w:r w:rsidRPr="00D7093F">
        <w:rPr>
          <w:color w:val="000000" w:themeColor="text1"/>
          <w:u w:color="000000" w:themeColor="text1"/>
        </w:rPr>
        <w:t>auxiliary container</w:t>
      </w:r>
      <w:r w:rsidRPr="007271C3">
        <w:rPr>
          <w:color w:val="000000" w:themeColor="text1"/>
          <w:u w:color="000000" w:themeColor="text1"/>
        </w:rPr>
        <w:t>’</w:t>
      </w:r>
      <w:r w:rsidRPr="00D7093F">
        <w:rPr>
          <w:color w:val="000000" w:themeColor="text1"/>
          <w:u w:color="000000" w:themeColor="text1"/>
        </w:rPr>
        <w:t xml:space="preserve"> means a bag, cup, package, container, bottle, or other packaging that is: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lastRenderedPageBreak/>
        <w:tab/>
        <w:t>(1)</w:t>
      </w:r>
      <w:r>
        <w:rPr>
          <w:color w:val="000000" w:themeColor="text1"/>
          <w:u w:color="000000" w:themeColor="text1"/>
        </w:rPr>
        <w:tab/>
      </w:r>
      <w:r w:rsidRPr="00D7093F">
        <w:rPr>
          <w:color w:val="000000" w:themeColor="text1"/>
          <w:u w:color="000000" w:themeColor="text1"/>
        </w:rPr>
        <w:t>designed to be either reusable or single</w:t>
      </w:r>
      <w:r>
        <w:rPr>
          <w:color w:val="000000" w:themeColor="text1"/>
          <w:u w:color="000000" w:themeColor="text1"/>
        </w:rPr>
        <w:noBreakHyphen/>
      </w:r>
      <w:r w:rsidRPr="00D7093F">
        <w:rPr>
          <w:color w:val="000000" w:themeColor="text1"/>
          <w:u w:color="000000" w:themeColor="text1"/>
        </w:rPr>
        <w:t xml:space="preserve">use;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(2)</w:t>
      </w:r>
      <w:r>
        <w:rPr>
          <w:color w:val="000000" w:themeColor="text1"/>
          <w:u w:color="000000" w:themeColor="text1"/>
        </w:rPr>
        <w:tab/>
      </w:r>
      <w:r w:rsidRPr="00D7093F">
        <w:rPr>
          <w:color w:val="000000" w:themeColor="text1"/>
          <w:u w:color="000000" w:themeColor="text1"/>
        </w:rPr>
        <w:t xml:space="preserve">made of cloth, paper, plastic, cardboard, expanded polystyrene, corrugated material, aluminum, glass, postconsumer recycled, or similar material or substrates, including coated, laminated, or multilayer substrates; and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(3)</w:t>
      </w:r>
      <w:r>
        <w:rPr>
          <w:color w:val="000000" w:themeColor="text1"/>
          <w:u w:color="000000" w:themeColor="text1"/>
        </w:rPr>
        <w:tab/>
      </w:r>
      <w:r w:rsidRPr="00D7093F">
        <w:rPr>
          <w:color w:val="000000" w:themeColor="text1"/>
          <w:u w:color="000000" w:themeColor="text1"/>
        </w:rPr>
        <w:t>designed for transporting or protecting merchandise, food, or beverages from a food service or retail facility.</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r>
      <w:r w:rsidRPr="00D7093F">
        <w:rPr>
          <w:color w:val="000000" w:themeColor="text1"/>
          <w:u w:color="000000" w:themeColor="text1"/>
        </w:rPr>
        <w:t>30.</w:t>
      </w:r>
      <w:r>
        <w:rPr>
          <w:color w:val="000000" w:themeColor="text1"/>
          <w:u w:color="000000" w:themeColor="text1"/>
        </w:rPr>
        <w:tab/>
      </w:r>
      <w:r w:rsidRPr="00D7093F">
        <w:rPr>
          <w:color w:val="000000" w:themeColor="text1"/>
          <w:u w:color="000000" w:themeColor="text1"/>
        </w:rPr>
        <w:t>(A)</w:t>
      </w:r>
      <w:r>
        <w:rPr>
          <w:color w:val="000000" w:themeColor="text1"/>
          <w:u w:color="000000" w:themeColor="text1"/>
        </w:rPr>
        <w:tab/>
      </w:r>
      <w:r w:rsidRPr="00D7093F">
        <w:rPr>
          <w:color w:val="000000" w:themeColor="text1"/>
          <w:u w:color="000000" w:themeColor="text1"/>
        </w:rPr>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disposition, sale, or any imposition of any prohibition, restriction, fee imposition, or taxation of auxiliary containers at the retail, manufacturer, or distributor level.</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(B)</w:t>
      </w:r>
      <w:r>
        <w:rPr>
          <w:color w:val="000000" w:themeColor="text1"/>
          <w:u w:color="000000" w:themeColor="text1"/>
        </w:rPr>
        <w:tab/>
      </w:r>
      <w:r w:rsidRPr="00D7093F">
        <w:rPr>
          <w:color w:val="000000" w:themeColor="text1"/>
          <w:u w:color="000000" w:themeColor="text1"/>
        </w:rPr>
        <w:t xml:space="preserve">Nothing in this chapter may be construed to prohibit or limit any county or municipal curbside recycling program, designated residential or commercial recycling locations, or commercial recycling program.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(C)</w:t>
      </w:r>
      <w:r>
        <w:rPr>
          <w:color w:val="000000" w:themeColor="text1"/>
          <w:u w:color="000000" w:themeColor="text1"/>
        </w:rPr>
        <w:tab/>
      </w:r>
      <w:r w:rsidRPr="00D7093F">
        <w:rPr>
          <w:color w:val="000000" w:themeColor="text1"/>
          <w:u w:color="000000" w:themeColor="text1"/>
        </w:rPr>
        <w:t>The provisions of this chapter do not apply to the use of auxiliary containers on a property owned by a county or municipality.”</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92D"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93F">
        <w:rPr>
          <w:color w:val="000000" w:themeColor="text1"/>
          <w:u w:color="000000" w:themeColor="text1"/>
        </w:rPr>
        <w:t>SECTION</w:t>
      </w: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This act takes effect upon approval by the Governor and applies to auxiliary container regulations enacted after the effective date of this act.</w:t>
      </w:r>
    </w:p>
    <w:p w:rsidR="00D64D22" w:rsidRDefault="00727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84F" w:rsidRDefault="00E9784F" w:rsidP="00E9784F">
      <w:pPr>
        <w:suppressAutoHyphens/>
      </w:pPr>
    </w:p>
    <w:sectPr w:rsidR="00E9784F" w:rsidSect="00E978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92D" w:rsidRDefault="007D192D" w:rsidP="009F0C77">
      <w:r>
        <w:separator/>
      </w:r>
    </w:p>
  </w:endnote>
  <w:endnote w:type="continuationSeparator" w:id="0">
    <w:p w:rsidR="007D192D" w:rsidRDefault="007D19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2F07B0-2374-4509-A9C1-202EB793B793}"/>
    <w:embedBold r:id="rId2" w:fontKey="{8452866E-A962-4D71-BCF9-DAFEE657E6C1}"/>
  </w:font>
  <w:font w:name="Calibri">
    <w:panose1 w:val="020F0502020204030204"/>
    <w:charset w:val="00"/>
    <w:family w:val="swiss"/>
    <w:pitch w:val="variable"/>
    <w:sig w:usb0="E00002FF" w:usb1="4000ACFF" w:usb2="00000001" w:usb3="00000000" w:csb0="0000019F" w:csb1="00000000"/>
    <w:embedRegular r:id="rId3" w:fontKey="{78C66BE7-5F68-494B-A16F-963AD46FCC9A}"/>
  </w:font>
  <w:font w:name="Segoe UI">
    <w:panose1 w:val="020B0502040204020203"/>
    <w:charset w:val="00"/>
    <w:family w:val="swiss"/>
    <w:pitch w:val="variable"/>
    <w:sig w:usb0="E10022FF" w:usb1="C000E47F" w:usb2="00000029" w:usb3="00000000" w:csb0="000001DF" w:csb1="00000000"/>
    <w:embedRegular r:id="rId4" w:fontKey="{852DA940-5B70-45EB-ACC5-D53ACE6FA933}"/>
  </w:font>
  <w:font w:name="Cambria">
    <w:panose1 w:val="02040503050406030204"/>
    <w:charset w:val="00"/>
    <w:family w:val="roman"/>
    <w:pitch w:val="variable"/>
    <w:sig w:usb0="E00002FF" w:usb1="400004FF" w:usb2="00000000" w:usb3="00000000" w:csb0="0000019F" w:csb1="00000000"/>
    <w:embedRegular r:id="rId5" w:fontKey="{CD362BDD-FA33-40B1-998B-ACAD471BD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84F" w:rsidRPr="00B245B0" w:rsidRDefault="00E9784F" w:rsidP="00B245B0">
    <w:pPr>
      <w:pStyle w:val="Footer"/>
      <w:tabs>
        <w:tab w:val="clear" w:pos="4680"/>
        <w:tab w:val="clear" w:pos="9360"/>
        <w:tab w:val="center" w:pos="2995"/>
      </w:tabs>
      <w:spacing w:before="120"/>
    </w:pPr>
    <w:r>
      <w:t>[4793]</w:t>
    </w:r>
    <w:r>
      <w:tab/>
    </w:r>
    <w:r>
      <w:fldChar w:fldCharType="begin"/>
    </w:r>
    <w:r>
      <w:instrText xml:space="preserve"> PAGE  \* MERGEFORMAT </w:instrText>
    </w:r>
    <w:r>
      <w:fldChar w:fldCharType="separate"/>
    </w:r>
    <w:r w:rsidR="00612F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92D" w:rsidRDefault="007D192D" w:rsidP="009F0C77">
      <w:r>
        <w:separator/>
      </w:r>
    </w:p>
  </w:footnote>
  <w:footnote w:type="continuationSeparator" w:id="0">
    <w:p w:rsidR="007D192D" w:rsidRDefault="007D19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9SA16"/>
    <w:docVar w:name="CoverBillType" w:val="b"/>
    <w:docVar w:name="docpath" w:val="L:\Council\bills\DKA\3159SA16.DOCX"/>
    <w:docVar w:name="dvBillNumber" w:val="4793"/>
    <w:docVar w:name="dvBillNumberPrefix" w:val="H. "/>
    <w:docVar w:name="dvOriginalBody" w:val="House"/>
    <w:docVar w:name="dvSteno" w:val="DKA"/>
    <w:docVar w:name="NameofBody" w:val="h"/>
    <w:docVar w:name="vgroup2" w:val="Council"/>
  </w:docVars>
  <w:rsids>
    <w:rsidRoot w:val="007D192D"/>
    <w:rsid w:val="00011869"/>
    <w:rsid w:val="00015CD6"/>
    <w:rsid w:val="000771BF"/>
    <w:rsid w:val="000E1785"/>
    <w:rsid w:val="000F40FA"/>
    <w:rsid w:val="0010776B"/>
    <w:rsid w:val="00133E66"/>
    <w:rsid w:val="001435A3"/>
    <w:rsid w:val="00146ED3"/>
    <w:rsid w:val="00151044"/>
    <w:rsid w:val="001D08F2"/>
    <w:rsid w:val="001D525B"/>
    <w:rsid w:val="001D7F4F"/>
    <w:rsid w:val="001E289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F5F"/>
    <w:rsid w:val="006215AA"/>
    <w:rsid w:val="006913C9"/>
    <w:rsid w:val="0069470D"/>
    <w:rsid w:val="006E2773"/>
    <w:rsid w:val="007271C3"/>
    <w:rsid w:val="00734F00"/>
    <w:rsid w:val="007A70AE"/>
    <w:rsid w:val="007C4AC3"/>
    <w:rsid w:val="007D192D"/>
    <w:rsid w:val="008362E8"/>
    <w:rsid w:val="008A1768"/>
    <w:rsid w:val="008F0F33"/>
    <w:rsid w:val="008F4429"/>
    <w:rsid w:val="00906E43"/>
    <w:rsid w:val="0094021A"/>
    <w:rsid w:val="009600C7"/>
    <w:rsid w:val="009B44AF"/>
    <w:rsid w:val="009C6A0B"/>
    <w:rsid w:val="009F0C77"/>
    <w:rsid w:val="009F38B3"/>
    <w:rsid w:val="009F4DD1"/>
    <w:rsid w:val="00A41684"/>
    <w:rsid w:val="00A64E80"/>
    <w:rsid w:val="00A72BCD"/>
    <w:rsid w:val="00A741D9"/>
    <w:rsid w:val="00A833AB"/>
    <w:rsid w:val="00A9741D"/>
    <w:rsid w:val="00AD4B17"/>
    <w:rsid w:val="00B245B0"/>
    <w:rsid w:val="00B412D4"/>
    <w:rsid w:val="00BB225D"/>
    <w:rsid w:val="00BE3C22"/>
    <w:rsid w:val="00C0345E"/>
    <w:rsid w:val="00C3483A"/>
    <w:rsid w:val="00C74E9D"/>
    <w:rsid w:val="00C82FD3"/>
    <w:rsid w:val="00C92819"/>
    <w:rsid w:val="00CC6B7B"/>
    <w:rsid w:val="00CD2089"/>
    <w:rsid w:val="00D64D22"/>
    <w:rsid w:val="00D73A67"/>
    <w:rsid w:val="00D970A9"/>
    <w:rsid w:val="00DF3845"/>
    <w:rsid w:val="00E41911"/>
    <w:rsid w:val="00E72F28"/>
    <w:rsid w:val="00E92EEF"/>
    <w:rsid w:val="00E9784F"/>
    <w:rsid w:val="00EF2368"/>
    <w:rsid w:val="00F24442"/>
    <w:rsid w:val="00F50AE3"/>
    <w:rsid w:val="00F55E0B"/>
    <w:rsid w:val="00F656BA"/>
    <w:rsid w:val="00F67CF1"/>
    <w:rsid w:val="00F840F0"/>
    <w:rsid w:val="00FB0D0D"/>
    <w:rsid w:val="00FB43B4"/>
    <w:rsid w:val="00FB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EA460-C300-4FCE-A892-AA556235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4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AC3"/>
    <w:rPr>
      <w:rFonts w:ascii="Segoe UI" w:eastAsia="Times New Roman" w:hAnsi="Segoe UI" w:cs="Segoe UI"/>
      <w:sz w:val="18"/>
      <w:szCs w:val="18"/>
    </w:rPr>
  </w:style>
  <w:style w:type="character" w:styleId="Hyperlink">
    <w:name w:val="Hyperlink"/>
    <w:basedOn w:val="DefaultParagraphFont"/>
    <w:uiPriority w:val="99"/>
    <w:unhideWhenUsed/>
    <w:rsid w:val="00E97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93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6100-F7F4-4D45-9677-B1A5F7F6A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534</Words>
  <Characters>3048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4793: Auxiliary containers - South Carolina Legislature Online</dc:title>
  <dc:creator>sharonpair</dc:creator>
  <cp:lastModifiedBy>N Cumfer</cp:lastModifiedBy>
  <cp:revision>2</cp:revision>
  <cp:lastPrinted>2016-01-27T20:31:00Z</cp:lastPrinted>
  <dcterms:created xsi:type="dcterms:W3CDTF">2016-12-02T19:19:00Z</dcterms:created>
  <dcterms:modified xsi:type="dcterms:W3CDTF">2016-12-02T19:19:00Z</dcterms:modified>
</cp:coreProperties>
</file>