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D330B" w:rsidRPr="005D330B" w:rsidRDefault="005D330B"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5D330B">
        <w:rPr>
          <w:rFonts w:cs="Times New Roman"/>
          <w:b/>
        </w:rPr>
        <w:t>South Carolina General Assembly</w:t>
      </w:r>
    </w:p>
    <w:p w:rsidR="005D330B" w:rsidRPr="005D330B" w:rsidRDefault="005D330B"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D330B">
        <w:rPr>
          <w:rFonts w:cs="Times New Roman"/>
        </w:rPr>
        <w:t>121st Session, 2015-2016</w:t>
      </w:r>
    </w:p>
    <w:p w:rsidR="005D330B" w:rsidRPr="005D330B" w:rsidRDefault="005D330B"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330B" w:rsidRPr="005D330B" w:rsidRDefault="00C13A5C"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A34, R58, S590</w:t>
      </w:r>
    </w:p>
    <w:p w:rsidR="005D330B" w:rsidRPr="005D330B" w:rsidRDefault="005D330B"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D330B" w:rsidRPr="005D330B" w:rsidRDefault="005D330B"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330B">
        <w:rPr>
          <w:rFonts w:cs="Times New Roman"/>
          <w:b/>
        </w:rPr>
        <w:t>STATUS INFORMATION</w:t>
      </w:r>
    </w:p>
    <w:p w:rsidR="005D330B" w:rsidRPr="005D330B" w:rsidRDefault="005D330B"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330B" w:rsidRPr="005D330B" w:rsidRDefault="005D330B"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330B">
        <w:rPr>
          <w:rFonts w:cs="Times New Roman"/>
        </w:rPr>
        <w:t>General Bill</w:t>
      </w:r>
    </w:p>
    <w:p w:rsidR="005D330B" w:rsidRPr="005D330B" w:rsidRDefault="005D330B"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330B">
        <w:rPr>
          <w:rFonts w:cs="Times New Roman"/>
        </w:rPr>
        <w:t>Sponsors: Senators L. Martin and Hutto</w:t>
      </w:r>
    </w:p>
    <w:p w:rsidR="005D330B" w:rsidRPr="005D330B" w:rsidRDefault="005D330B"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330B">
        <w:rPr>
          <w:rFonts w:cs="Times New Roman"/>
        </w:rPr>
        <w:t>Document Path: l:\s-jud\bills\l. martin\jud0061.jjg.docx</w:t>
      </w:r>
    </w:p>
    <w:p w:rsidR="005D330B" w:rsidRPr="005D330B" w:rsidRDefault="005D330B"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330B">
        <w:rPr>
          <w:rFonts w:cs="Times New Roman"/>
        </w:rPr>
        <w:t>Companion/Similar bill(s): 3974</w:t>
      </w:r>
    </w:p>
    <w:p w:rsidR="005D330B" w:rsidRPr="005D330B" w:rsidRDefault="005D330B"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C2E35" w:rsidRDefault="00DC2E35"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24, 2015</w:t>
      </w:r>
    </w:p>
    <w:p w:rsidR="00DC2E35" w:rsidRDefault="00DC2E35"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16, 2015</w:t>
      </w:r>
    </w:p>
    <w:p w:rsidR="00DC2E35" w:rsidRDefault="00DC2E35"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19, 2015</w:t>
      </w:r>
    </w:p>
    <w:p w:rsidR="00DC2E35" w:rsidRDefault="00DC2E35"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21, 2015</w:t>
      </w:r>
    </w:p>
    <w:p w:rsidR="00DC2E35" w:rsidRDefault="00DC2E35"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 2015, Signed</w:t>
      </w:r>
    </w:p>
    <w:p w:rsidR="00DC2E35" w:rsidRDefault="00DC2E35"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330B" w:rsidRPr="005D330B" w:rsidRDefault="005D330B"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330B">
        <w:rPr>
          <w:rFonts w:cs="Times New Roman"/>
        </w:rPr>
        <w:t>Summary: Ignition interlock devices</w:t>
      </w:r>
    </w:p>
    <w:p w:rsidR="005D330B" w:rsidRPr="005D330B" w:rsidRDefault="005D330B"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330B" w:rsidRPr="005D330B" w:rsidRDefault="005D330B"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330B" w:rsidRPr="005D330B" w:rsidRDefault="005D330B" w:rsidP="005D330B">
      <w:pPr>
        <w:widowControl w:val="0"/>
        <w:tabs>
          <w:tab w:val="center" w:pos="590"/>
          <w:tab w:val="center" w:pos="1440"/>
          <w:tab w:val="left" w:pos="1872"/>
          <w:tab w:val="left" w:pos="9187"/>
        </w:tabs>
        <w:rPr>
          <w:rFonts w:cs="Times New Roman"/>
        </w:rPr>
      </w:pPr>
      <w:r w:rsidRPr="005D330B">
        <w:rPr>
          <w:rFonts w:cs="Times New Roman"/>
          <w:b/>
        </w:rPr>
        <w:t>HISTORY OF LEGISLATIVE ACTIONS</w:t>
      </w:r>
    </w:p>
    <w:p w:rsidR="005D330B" w:rsidRPr="005D330B" w:rsidRDefault="005D330B" w:rsidP="005D330B">
      <w:pPr>
        <w:widowControl w:val="0"/>
        <w:tabs>
          <w:tab w:val="center" w:pos="590"/>
          <w:tab w:val="center" w:pos="1440"/>
          <w:tab w:val="left" w:pos="1872"/>
          <w:tab w:val="left" w:pos="9187"/>
        </w:tabs>
        <w:rPr>
          <w:rFonts w:cs="Times New Roman"/>
        </w:rPr>
      </w:pPr>
    </w:p>
    <w:p w:rsidR="005D330B" w:rsidRPr="005D330B" w:rsidRDefault="005D330B" w:rsidP="005D330B">
      <w:pPr>
        <w:widowControl w:val="0"/>
        <w:tabs>
          <w:tab w:val="center" w:pos="590"/>
          <w:tab w:val="center" w:pos="1440"/>
          <w:tab w:val="left" w:pos="1872"/>
          <w:tab w:val="left" w:pos="9187"/>
        </w:tabs>
        <w:rPr>
          <w:rFonts w:cs="Times New Roman"/>
        </w:rPr>
      </w:pPr>
      <w:r w:rsidRPr="005D330B">
        <w:rPr>
          <w:rFonts w:cs="Times New Roman"/>
          <w:u w:val="single"/>
        </w:rPr>
        <w:tab/>
        <w:t>Date</w:t>
      </w:r>
      <w:r w:rsidRPr="005D330B">
        <w:rPr>
          <w:rFonts w:cs="Times New Roman"/>
          <w:u w:val="single"/>
        </w:rPr>
        <w:tab/>
        <w:t>Body</w:t>
      </w:r>
      <w:r w:rsidRPr="005D330B">
        <w:rPr>
          <w:rFonts w:cs="Times New Roman"/>
          <w:u w:val="single"/>
        </w:rPr>
        <w:tab/>
        <w:t>Action Description with journal page number</w:t>
      </w:r>
      <w:r w:rsidRPr="005D330B">
        <w:rPr>
          <w:rFonts w:cs="Times New Roman"/>
          <w:u w:val="single"/>
        </w:rPr>
        <w:tab/>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Senate</w:t>
      </w:r>
      <w:r>
        <w:rPr>
          <w:rFonts w:cs="Times New Roman"/>
        </w:rPr>
        <w:tab/>
      </w:r>
      <w:r w:rsidRPr="005E5D83">
        <w:rPr>
          <w:rFonts w:cs="Times New Roman"/>
        </w:rPr>
        <w:t>Introduced and read first time (</w:t>
      </w:r>
      <w:hyperlink r:id="rId6" w:history="1">
        <w:r w:rsidRPr="00660C2C">
          <w:rPr>
            <w:rStyle w:val="Hyperlink"/>
            <w:rFonts w:cs="Times New Roman"/>
          </w:rPr>
          <w:t>Senate Journal</w:t>
        </w:r>
        <w:r w:rsidRPr="00660C2C">
          <w:rPr>
            <w:rStyle w:val="Hyperlink"/>
            <w:rFonts w:cs="Times New Roman"/>
          </w:rPr>
          <w:noBreakHyphen/>
          <w:t>page 11</w:t>
        </w:r>
      </w:hyperlink>
      <w:r w:rsidRPr="005E5D83">
        <w:rPr>
          <w:rFonts w:cs="Times New Roman"/>
        </w:rPr>
        <w:t>)</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Senate</w:t>
      </w:r>
      <w:r>
        <w:rPr>
          <w:rFonts w:cs="Times New Roman"/>
        </w:rPr>
        <w:tab/>
      </w:r>
      <w:r w:rsidRPr="005E5D83">
        <w:rPr>
          <w:rFonts w:cs="Times New Roman"/>
        </w:rPr>
        <w:t>Ref</w:t>
      </w:r>
      <w:r>
        <w:rPr>
          <w:rFonts w:cs="Times New Roman"/>
        </w:rPr>
        <w:t xml:space="preserve">erred to Committee on </w:t>
      </w:r>
      <w:r w:rsidRPr="005E5D83">
        <w:rPr>
          <w:rFonts w:cs="Times New Roman"/>
          <w:b/>
        </w:rPr>
        <w:t>Judiciary</w:t>
      </w:r>
      <w:r>
        <w:rPr>
          <w:rFonts w:cs="Times New Roman"/>
        </w:rPr>
        <w:t xml:space="preserve"> </w:t>
      </w:r>
      <w:r w:rsidRPr="005E5D83">
        <w:rPr>
          <w:rFonts w:cs="Times New Roman"/>
        </w:rPr>
        <w:t>(</w:t>
      </w:r>
      <w:hyperlink r:id="rId7" w:history="1">
        <w:r w:rsidRPr="00660C2C">
          <w:rPr>
            <w:rStyle w:val="Hyperlink"/>
            <w:rFonts w:cs="Times New Roman"/>
          </w:rPr>
          <w:t>Senate Journal</w:t>
        </w:r>
        <w:r w:rsidRPr="00660C2C">
          <w:rPr>
            <w:rStyle w:val="Hyperlink"/>
            <w:rFonts w:cs="Times New Roman"/>
          </w:rPr>
          <w:noBreakHyphen/>
          <w:t>page 11</w:t>
        </w:r>
      </w:hyperlink>
      <w:r w:rsidRPr="005E5D83">
        <w:rPr>
          <w:rFonts w:cs="Times New Roman"/>
        </w:rPr>
        <w:t>)</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Senate</w:t>
      </w:r>
      <w:r>
        <w:rPr>
          <w:rFonts w:cs="Times New Roman"/>
        </w:rPr>
        <w:tab/>
      </w:r>
      <w:r w:rsidRPr="005E5D83">
        <w:rPr>
          <w:rFonts w:cs="Times New Roman"/>
        </w:rPr>
        <w:t>Referred to Subcommittee: Hutto (ch), Bennett, Thurmond</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t>Senate</w:t>
      </w:r>
      <w:r>
        <w:rPr>
          <w:rFonts w:cs="Times New Roman"/>
        </w:rPr>
        <w:tab/>
      </w:r>
      <w:r w:rsidRPr="005E5D83">
        <w:rPr>
          <w:rFonts w:cs="Times New Roman"/>
        </w:rPr>
        <w:t>Committee r</w:t>
      </w:r>
      <w:r>
        <w:rPr>
          <w:rFonts w:cs="Times New Roman"/>
        </w:rPr>
        <w:t xml:space="preserve">eport: Favorable with amendment </w:t>
      </w:r>
      <w:r w:rsidRPr="005E5D83">
        <w:rPr>
          <w:rFonts w:cs="Times New Roman"/>
          <w:b/>
        </w:rPr>
        <w:t>Judiciary</w:t>
      </w:r>
      <w:r w:rsidRPr="005E5D83">
        <w:rPr>
          <w:rFonts w:cs="Times New Roman"/>
        </w:rPr>
        <w:t xml:space="preserve"> (</w:t>
      </w:r>
      <w:hyperlink r:id="rId8" w:history="1">
        <w:r w:rsidRPr="00660C2C">
          <w:rPr>
            <w:rStyle w:val="Hyperlink"/>
            <w:rFonts w:cs="Times New Roman"/>
          </w:rPr>
          <w:t>Senate Journal</w:t>
        </w:r>
        <w:r w:rsidRPr="00660C2C">
          <w:rPr>
            <w:rStyle w:val="Hyperlink"/>
            <w:rFonts w:cs="Times New Roman"/>
          </w:rPr>
          <w:noBreakHyphen/>
          <w:t>page 9</w:t>
        </w:r>
      </w:hyperlink>
      <w:r w:rsidRPr="005E5D83">
        <w:rPr>
          <w:rFonts w:cs="Times New Roman"/>
        </w:rPr>
        <w:t>)</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t>Senate</w:t>
      </w:r>
      <w:r>
        <w:rPr>
          <w:rFonts w:cs="Times New Roman"/>
        </w:rPr>
        <w:tab/>
      </w:r>
      <w:r w:rsidRPr="005E5D83">
        <w:rPr>
          <w:rFonts w:cs="Times New Roman"/>
        </w:rPr>
        <w:t>Committee Amendment Adopted (</w:t>
      </w:r>
      <w:hyperlink r:id="rId9" w:history="1">
        <w:r w:rsidRPr="00660C2C">
          <w:rPr>
            <w:rStyle w:val="Hyperlink"/>
            <w:rFonts w:cs="Times New Roman"/>
          </w:rPr>
          <w:t>Senate Journal</w:t>
        </w:r>
        <w:r w:rsidRPr="00660C2C">
          <w:rPr>
            <w:rStyle w:val="Hyperlink"/>
            <w:rFonts w:cs="Times New Roman"/>
          </w:rPr>
          <w:noBreakHyphen/>
          <w:t>page 27</w:t>
        </w:r>
      </w:hyperlink>
      <w:r w:rsidRPr="005E5D83">
        <w:rPr>
          <w:rFonts w:cs="Times New Roman"/>
        </w:rPr>
        <w:t>)</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t>Senate</w:t>
      </w:r>
      <w:r>
        <w:rPr>
          <w:rFonts w:cs="Times New Roman"/>
        </w:rPr>
        <w:tab/>
      </w:r>
      <w:r w:rsidRPr="005E5D83">
        <w:rPr>
          <w:rFonts w:cs="Times New Roman"/>
        </w:rPr>
        <w:t>Read second time (</w:t>
      </w:r>
      <w:hyperlink r:id="rId10" w:history="1">
        <w:r w:rsidRPr="00660C2C">
          <w:rPr>
            <w:rStyle w:val="Hyperlink"/>
            <w:rFonts w:cs="Times New Roman"/>
          </w:rPr>
          <w:t>Senate Journal</w:t>
        </w:r>
        <w:r w:rsidRPr="00660C2C">
          <w:rPr>
            <w:rStyle w:val="Hyperlink"/>
            <w:rFonts w:cs="Times New Roman"/>
          </w:rPr>
          <w:noBreakHyphen/>
          <w:t>page 27</w:t>
        </w:r>
      </w:hyperlink>
      <w:r w:rsidRPr="005E5D83">
        <w:rPr>
          <w:rFonts w:cs="Times New Roman"/>
        </w:rPr>
        <w:t>)</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4/1/2015</w:t>
      </w:r>
      <w:r>
        <w:rPr>
          <w:rFonts w:cs="Times New Roman"/>
        </w:rPr>
        <w:tab/>
        <w:t>Senate</w:t>
      </w:r>
      <w:r>
        <w:rPr>
          <w:rFonts w:cs="Times New Roman"/>
        </w:rPr>
        <w:tab/>
      </w:r>
      <w:r w:rsidRPr="005E5D83">
        <w:rPr>
          <w:rFonts w:cs="Times New Roman"/>
        </w:rPr>
        <w:t>Roll call Ayes</w:t>
      </w:r>
      <w:r>
        <w:rPr>
          <w:rFonts w:cs="Times New Roman"/>
        </w:rPr>
        <w:noBreakHyphen/>
      </w:r>
      <w:r w:rsidRPr="005E5D83">
        <w:rPr>
          <w:rFonts w:cs="Times New Roman"/>
        </w:rPr>
        <w:t>41  Nays</w:t>
      </w:r>
      <w:r>
        <w:rPr>
          <w:rFonts w:cs="Times New Roman"/>
        </w:rPr>
        <w:noBreakHyphen/>
      </w:r>
      <w:r w:rsidRPr="005E5D83">
        <w:rPr>
          <w:rFonts w:cs="Times New Roman"/>
        </w:rPr>
        <w:t>0 (</w:t>
      </w:r>
      <w:hyperlink r:id="rId11" w:history="1">
        <w:r w:rsidRPr="00660C2C">
          <w:rPr>
            <w:rStyle w:val="Hyperlink"/>
            <w:rFonts w:cs="Times New Roman"/>
          </w:rPr>
          <w:t>Senate Journal</w:t>
        </w:r>
        <w:r w:rsidRPr="00660C2C">
          <w:rPr>
            <w:rStyle w:val="Hyperlink"/>
            <w:rFonts w:cs="Times New Roman"/>
          </w:rPr>
          <w:noBreakHyphen/>
          <w:t>page 27</w:t>
        </w:r>
      </w:hyperlink>
      <w:r w:rsidRPr="005E5D83">
        <w:rPr>
          <w:rFonts w:cs="Times New Roman"/>
        </w:rPr>
        <w:t>)</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4/7/2015</w:t>
      </w:r>
      <w:r>
        <w:rPr>
          <w:rFonts w:cs="Times New Roman"/>
        </w:rPr>
        <w:tab/>
      </w:r>
      <w:r>
        <w:rPr>
          <w:rFonts w:cs="Times New Roman"/>
        </w:rPr>
        <w:tab/>
      </w:r>
      <w:r w:rsidRPr="005E5D83">
        <w:rPr>
          <w:rFonts w:cs="Times New Roman"/>
        </w:rPr>
        <w:t>Scrivener's error corrected</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Senate</w:t>
      </w:r>
      <w:r>
        <w:rPr>
          <w:rFonts w:cs="Times New Roman"/>
        </w:rPr>
        <w:tab/>
      </w:r>
      <w:r w:rsidRPr="005E5D83">
        <w:rPr>
          <w:rFonts w:cs="Times New Roman"/>
        </w:rPr>
        <w:t>Amended (</w:t>
      </w:r>
      <w:hyperlink r:id="rId12" w:history="1">
        <w:r w:rsidRPr="00660C2C">
          <w:rPr>
            <w:rStyle w:val="Hyperlink"/>
            <w:rFonts w:cs="Times New Roman"/>
          </w:rPr>
          <w:t>Senate Journal</w:t>
        </w:r>
        <w:r w:rsidRPr="00660C2C">
          <w:rPr>
            <w:rStyle w:val="Hyperlink"/>
            <w:rFonts w:cs="Times New Roman"/>
          </w:rPr>
          <w:noBreakHyphen/>
          <w:t>page 14</w:t>
        </w:r>
      </w:hyperlink>
      <w:r w:rsidRPr="005E5D83">
        <w:rPr>
          <w:rFonts w:cs="Times New Roman"/>
        </w:rPr>
        <w:t>)</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Senate</w:t>
      </w:r>
      <w:r>
        <w:rPr>
          <w:rFonts w:cs="Times New Roman"/>
        </w:rPr>
        <w:tab/>
      </w:r>
      <w:r w:rsidRPr="005E5D83">
        <w:rPr>
          <w:rFonts w:cs="Times New Roman"/>
        </w:rPr>
        <w:t>Re</w:t>
      </w:r>
      <w:r>
        <w:rPr>
          <w:rFonts w:cs="Times New Roman"/>
        </w:rPr>
        <w:t xml:space="preserve">ad third time and sent to House </w:t>
      </w:r>
      <w:r w:rsidRPr="005E5D83">
        <w:rPr>
          <w:rFonts w:cs="Times New Roman"/>
        </w:rPr>
        <w:t>(</w:t>
      </w:r>
      <w:hyperlink r:id="rId13" w:history="1">
        <w:r w:rsidRPr="00660C2C">
          <w:rPr>
            <w:rStyle w:val="Hyperlink"/>
            <w:rFonts w:cs="Times New Roman"/>
          </w:rPr>
          <w:t>Senate Journal</w:t>
        </w:r>
        <w:r w:rsidRPr="00660C2C">
          <w:rPr>
            <w:rStyle w:val="Hyperlink"/>
            <w:rFonts w:cs="Times New Roman"/>
          </w:rPr>
          <w:noBreakHyphen/>
          <w:t>page 14</w:t>
        </w:r>
      </w:hyperlink>
      <w:r w:rsidRPr="005E5D83">
        <w:rPr>
          <w:rFonts w:cs="Times New Roman"/>
        </w:rPr>
        <w:t>)</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Senate</w:t>
      </w:r>
      <w:r>
        <w:rPr>
          <w:rFonts w:cs="Times New Roman"/>
        </w:rPr>
        <w:tab/>
      </w:r>
      <w:r w:rsidRPr="005E5D83">
        <w:rPr>
          <w:rFonts w:cs="Times New Roman"/>
        </w:rPr>
        <w:t>Roll call Ayes</w:t>
      </w:r>
      <w:r>
        <w:rPr>
          <w:rFonts w:cs="Times New Roman"/>
        </w:rPr>
        <w:noBreakHyphen/>
      </w:r>
      <w:r w:rsidRPr="005E5D83">
        <w:rPr>
          <w:rFonts w:cs="Times New Roman"/>
        </w:rPr>
        <w:t>43  Nays</w:t>
      </w:r>
      <w:r>
        <w:rPr>
          <w:rFonts w:cs="Times New Roman"/>
        </w:rPr>
        <w:noBreakHyphen/>
      </w:r>
      <w:r w:rsidRPr="005E5D83">
        <w:rPr>
          <w:rFonts w:cs="Times New Roman"/>
        </w:rPr>
        <w:t>0 (</w:t>
      </w:r>
      <w:hyperlink r:id="rId14" w:history="1">
        <w:r w:rsidRPr="00660C2C">
          <w:rPr>
            <w:rStyle w:val="Hyperlink"/>
            <w:rFonts w:cs="Times New Roman"/>
          </w:rPr>
          <w:t>Senate Journal</w:t>
        </w:r>
        <w:r w:rsidRPr="00660C2C">
          <w:rPr>
            <w:rStyle w:val="Hyperlink"/>
            <w:rFonts w:cs="Times New Roman"/>
          </w:rPr>
          <w:noBreakHyphen/>
          <w:t>page 14</w:t>
        </w:r>
      </w:hyperlink>
      <w:r w:rsidRPr="005E5D83">
        <w:rPr>
          <w:rFonts w:cs="Times New Roman"/>
        </w:rPr>
        <w:t>)</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House</w:t>
      </w:r>
      <w:r>
        <w:rPr>
          <w:rFonts w:cs="Times New Roman"/>
        </w:rPr>
        <w:tab/>
      </w:r>
      <w:r w:rsidRPr="005E5D83">
        <w:rPr>
          <w:rFonts w:cs="Times New Roman"/>
        </w:rPr>
        <w:t>Introduced and read first time (</w:t>
      </w:r>
      <w:hyperlink r:id="rId15" w:history="1">
        <w:r w:rsidRPr="00660C2C">
          <w:rPr>
            <w:rStyle w:val="Hyperlink"/>
            <w:rFonts w:cs="Times New Roman"/>
          </w:rPr>
          <w:t>House Journal</w:t>
        </w:r>
        <w:r w:rsidRPr="00660C2C">
          <w:rPr>
            <w:rStyle w:val="Hyperlink"/>
            <w:rFonts w:cs="Times New Roman"/>
          </w:rPr>
          <w:noBreakHyphen/>
          <w:t>page 27</w:t>
        </w:r>
      </w:hyperlink>
      <w:r w:rsidRPr="005E5D83">
        <w:rPr>
          <w:rFonts w:cs="Times New Roman"/>
        </w:rPr>
        <w:t>)</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4/16/2015</w:t>
      </w:r>
      <w:r>
        <w:rPr>
          <w:rFonts w:cs="Times New Roman"/>
        </w:rPr>
        <w:tab/>
        <w:t>House</w:t>
      </w:r>
      <w:r>
        <w:rPr>
          <w:rFonts w:cs="Times New Roman"/>
        </w:rPr>
        <w:tab/>
      </w:r>
      <w:r w:rsidRPr="005E5D83">
        <w:rPr>
          <w:rFonts w:cs="Times New Roman"/>
        </w:rPr>
        <w:t>Ref</w:t>
      </w:r>
      <w:r>
        <w:rPr>
          <w:rFonts w:cs="Times New Roman"/>
        </w:rPr>
        <w:t xml:space="preserve">erred to Committee on </w:t>
      </w:r>
      <w:r w:rsidRPr="005E5D83">
        <w:rPr>
          <w:rFonts w:cs="Times New Roman"/>
          <w:b/>
        </w:rPr>
        <w:t>Judiciary</w:t>
      </w:r>
      <w:r>
        <w:rPr>
          <w:rFonts w:cs="Times New Roman"/>
        </w:rPr>
        <w:t xml:space="preserve"> </w:t>
      </w:r>
      <w:r w:rsidRPr="005E5D83">
        <w:rPr>
          <w:rFonts w:cs="Times New Roman"/>
        </w:rPr>
        <w:t>(</w:t>
      </w:r>
      <w:hyperlink r:id="rId16" w:history="1">
        <w:r w:rsidRPr="00660C2C">
          <w:rPr>
            <w:rStyle w:val="Hyperlink"/>
            <w:rFonts w:cs="Times New Roman"/>
          </w:rPr>
          <w:t>House Journal</w:t>
        </w:r>
        <w:r w:rsidRPr="00660C2C">
          <w:rPr>
            <w:rStyle w:val="Hyperlink"/>
            <w:rFonts w:cs="Times New Roman"/>
          </w:rPr>
          <w:noBreakHyphen/>
          <w:t>page 27</w:t>
        </w:r>
      </w:hyperlink>
      <w:r w:rsidRPr="005E5D83">
        <w:rPr>
          <w:rFonts w:cs="Times New Roman"/>
        </w:rPr>
        <w:t>)</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5/13/2015</w:t>
      </w:r>
      <w:r>
        <w:rPr>
          <w:rFonts w:cs="Times New Roman"/>
        </w:rPr>
        <w:tab/>
        <w:t>House</w:t>
      </w:r>
      <w:r>
        <w:rPr>
          <w:rFonts w:cs="Times New Roman"/>
        </w:rPr>
        <w:tab/>
      </w:r>
      <w:r w:rsidRPr="005E5D83">
        <w:rPr>
          <w:rFonts w:cs="Times New Roman"/>
        </w:rPr>
        <w:t>Committee report: Fa</w:t>
      </w:r>
      <w:r>
        <w:rPr>
          <w:rFonts w:cs="Times New Roman"/>
        </w:rPr>
        <w:t xml:space="preserve">vorable with amendment </w:t>
      </w:r>
      <w:r w:rsidRPr="005E5D83">
        <w:rPr>
          <w:rFonts w:cs="Times New Roman"/>
          <w:b/>
        </w:rPr>
        <w:t>Judiciary</w:t>
      </w:r>
      <w:r w:rsidRPr="005E5D83">
        <w:rPr>
          <w:rFonts w:cs="Times New Roman"/>
        </w:rPr>
        <w:t xml:space="preserve"> (</w:t>
      </w:r>
      <w:hyperlink r:id="rId17" w:history="1">
        <w:r w:rsidRPr="00660C2C">
          <w:rPr>
            <w:rStyle w:val="Hyperlink"/>
            <w:rFonts w:cs="Times New Roman"/>
          </w:rPr>
          <w:t>House Journal</w:t>
        </w:r>
        <w:r w:rsidRPr="00660C2C">
          <w:rPr>
            <w:rStyle w:val="Hyperlink"/>
            <w:rFonts w:cs="Times New Roman"/>
          </w:rPr>
          <w:noBreakHyphen/>
          <w:t>page 48</w:t>
        </w:r>
      </w:hyperlink>
      <w:r w:rsidRPr="005E5D83">
        <w:rPr>
          <w:rFonts w:cs="Times New Roman"/>
        </w:rPr>
        <w:t>)</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5/14/2015</w:t>
      </w:r>
      <w:r>
        <w:rPr>
          <w:rFonts w:cs="Times New Roman"/>
        </w:rPr>
        <w:tab/>
      </w:r>
      <w:r>
        <w:rPr>
          <w:rFonts w:cs="Times New Roman"/>
        </w:rPr>
        <w:tab/>
      </w:r>
      <w:r w:rsidRPr="005E5D83">
        <w:rPr>
          <w:rFonts w:cs="Times New Roman"/>
        </w:rPr>
        <w:t>Scrivener's error corrected</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House</w:t>
      </w:r>
      <w:r>
        <w:rPr>
          <w:rFonts w:cs="Times New Roman"/>
        </w:rPr>
        <w:tab/>
      </w:r>
      <w:r w:rsidRPr="005E5D83">
        <w:rPr>
          <w:rFonts w:cs="Times New Roman"/>
        </w:rPr>
        <w:t>Amended (</w:t>
      </w:r>
      <w:hyperlink r:id="rId18" w:history="1">
        <w:r w:rsidRPr="00660C2C">
          <w:rPr>
            <w:rStyle w:val="Hyperlink"/>
            <w:rFonts w:cs="Times New Roman"/>
          </w:rPr>
          <w:t>House Journal</w:t>
        </w:r>
        <w:r w:rsidRPr="00660C2C">
          <w:rPr>
            <w:rStyle w:val="Hyperlink"/>
            <w:rFonts w:cs="Times New Roman"/>
          </w:rPr>
          <w:noBreakHyphen/>
          <w:t>page 61</w:t>
        </w:r>
      </w:hyperlink>
      <w:r w:rsidRPr="005E5D83">
        <w:rPr>
          <w:rFonts w:cs="Times New Roman"/>
        </w:rPr>
        <w:t>)</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House</w:t>
      </w:r>
      <w:r>
        <w:rPr>
          <w:rFonts w:cs="Times New Roman"/>
        </w:rPr>
        <w:tab/>
      </w:r>
      <w:r w:rsidRPr="005E5D83">
        <w:rPr>
          <w:rFonts w:cs="Times New Roman"/>
        </w:rPr>
        <w:t>Read second time (</w:t>
      </w:r>
      <w:hyperlink r:id="rId19" w:history="1">
        <w:r w:rsidRPr="00660C2C">
          <w:rPr>
            <w:rStyle w:val="Hyperlink"/>
            <w:rFonts w:cs="Times New Roman"/>
          </w:rPr>
          <w:t>House Journal</w:t>
        </w:r>
        <w:r w:rsidRPr="00660C2C">
          <w:rPr>
            <w:rStyle w:val="Hyperlink"/>
            <w:rFonts w:cs="Times New Roman"/>
          </w:rPr>
          <w:noBreakHyphen/>
          <w:t>page 61</w:t>
        </w:r>
      </w:hyperlink>
      <w:r w:rsidRPr="005E5D83">
        <w:rPr>
          <w:rFonts w:cs="Times New Roman"/>
        </w:rPr>
        <w:t>)</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5/19/2015</w:t>
      </w:r>
      <w:r>
        <w:rPr>
          <w:rFonts w:cs="Times New Roman"/>
        </w:rPr>
        <w:tab/>
        <w:t>House</w:t>
      </w:r>
      <w:r>
        <w:rPr>
          <w:rFonts w:cs="Times New Roman"/>
        </w:rPr>
        <w:tab/>
      </w:r>
      <w:r w:rsidRPr="005E5D83">
        <w:rPr>
          <w:rFonts w:cs="Times New Roman"/>
        </w:rPr>
        <w:t>Roll call Yeas</w:t>
      </w:r>
      <w:r>
        <w:rPr>
          <w:rFonts w:cs="Times New Roman"/>
        </w:rPr>
        <w:noBreakHyphen/>
      </w:r>
      <w:r w:rsidRPr="005E5D83">
        <w:rPr>
          <w:rFonts w:cs="Times New Roman"/>
        </w:rPr>
        <w:t>101  Nays</w:t>
      </w:r>
      <w:r>
        <w:rPr>
          <w:rFonts w:cs="Times New Roman"/>
        </w:rPr>
        <w:noBreakHyphen/>
      </w:r>
      <w:r w:rsidRPr="005E5D83">
        <w:rPr>
          <w:rFonts w:cs="Times New Roman"/>
        </w:rPr>
        <w:t>0 (</w:t>
      </w:r>
      <w:hyperlink r:id="rId20" w:history="1">
        <w:r w:rsidRPr="00660C2C">
          <w:rPr>
            <w:rStyle w:val="Hyperlink"/>
            <w:rFonts w:cs="Times New Roman"/>
          </w:rPr>
          <w:t>House Journal</w:t>
        </w:r>
        <w:r w:rsidRPr="00660C2C">
          <w:rPr>
            <w:rStyle w:val="Hyperlink"/>
            <w:rFonts w:cs="Times New Roman"/>
          </w:rPr>
          <w:noBreakHyphen/>
          <w:t>page 72</w:t>
        </w:r>
      </w:hyperlink>
      <w:r w:rsidRPr="005E5D83">
        <w:rPr>
          <w:rFonts w:cs="Times New Roman"/>
        </w:rPr>
        <w:t>)</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t>House</w:t>
      </w:r>
      <w:r>
        <w:rPr>
          <w:rFonts w:cs="Times New Roman"/>
        </w:rPr>
        <w:tab/>
      </w:r>
      <w:r w:rsidRPr="005E5D83">
        <w:rPr>
          <w:rFonts w:cs="Times New Roman"/>
        </w:rPr>
        <w:t>Read third t</w:t>
      </w:r>
      <w:r>
        <w:rPr>
          <w:rFonts w:cs="Times New Roman"/>
        </w:rPr>
        <w:t xml:space="preserve">ime and returned to Senate with </w:t>
      </w:r>
      <w:r w:rsidRPr="005E5D83">
        <w:rPr>
          <w:rFonts w:cs="Times New Roman"/>
        </w:rPr>
        <w:t>amendments (</w:t>
      </w:r>
      <w:hyperlink r:id="rId21" w:history="1">
        <w:r w:rsidRPr="00660C2C">
          <w:rPr>
            <w:rStyle w:val="Hyperlink"/>
            <w:rFonts w:cs="Times New Roman"/>
          </w:rPr>
          <w:t>House Journal</w:t>
        </w:r>
        <w:r w:rsidRPr="00660C2C">
          <w:rPr>
            <w:rStyle w:val="Hyperlink"/>
            <w:rFonts w:cs="Times New Roman"/>
          </w:rPr>
          <w:noBreakHyphen/>
          <w:t>page 9</w:t>
        </w:r>
      </w:hyperlink>
      <w:r w:rsidRPr="005E5D83">
        <w:rPr>
          <w:rFonts w:cs="Times New Roman"/>
        </w:rPr>
        <w:t>)</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5/20/2015</w:t>
      </w:r>
      <w:r>
        <w:rPr>
          <w:rFonts w:cs="Times New Roman"/>
        </w:rPr>
        <w:tab/>
      </w:r>
      <w:r>
        <w:rPr>
          <w:rFonts w:cs="Times New Roman"/>
        </w:rPr>
        <w:tab/>
      </w:r>
      <w:r w:rsidRPr="005E5D83">
        <w:rPr>
          <w:rFonts w:cs="Times New Roman"/>
        </w:rPr>
        <w:t>Scrivener's error corrected</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5E5D83">
        <w:rPr>
          <w:rFonts w:cs="Times New Roman"/>
        </w:rPr>
        <w:t xml:space="preserve">Concurred </w:t>
      </w:r>
      <w:r>
        <w:rPr>
          <w:rFonts w:cs="Times New Roman"/>
        </w:rPr>
        <w:t xml:space="preserve">in House amendment and enrolled </w:t>
      </w:r>
      <w:r w:rsidRPr="005E5D83">
        <w:rPr>
          <w:rFonts w:cs="Times New Roman"/>
        </w:rPr>
        <w:t>(</w:t>
      </w:r>
      <w:hyperlink r:id="rId22" w:history="1">
        <w:r w:rsidRPr="00660C2C">
          <w:rPr>
            <w:rStyle w:val="Hyperlink"/>
            <w:rFonts w:cs="Times New Roman"/>
          </w:rPr>
          <w:t>Senate Journal</w:t>
        </w:r>
        <w:r w:rsidRPr="00660C2C">
          <w:rPr>
            <w:rStyle w:val="Hyperlink"/>
            <w:rFonts w:cs="Times New Roman"/>
          </w:rPr>
          <w:noBreakHyphen/>
          <w:t>page 26</w:t>
        </w:r>
      </w:hyperlink>
      <w:r w:rsidRPr="005E5D83">
        <w:rPr>
          <w:rFonts w:cs="Times New Roman"/>
        </w:rPr>
        <w:t>)</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5/21/2015</w:t>
      </w:r>
      <w:r>
        <w:rPr>
          <w:rFonts w:cs="Times New Roman"/>
        </w:rPr>
        <w:tab/>
        <w:t>Senate</w:t>
      </w:r>
      <w:r>
        <w:rPr>
          <w:rFonts w:cs="Times New Roman"/>
        </w:rPr>
        <w:tab/>
      </w:r>
      <w:r w:rsidRPr="005E5D83">
        <w:rPr>
          <w:rFonts w:cs="Times New Roman"/>
        </w:rPr>
        <w:t>Roll call Ayes</w:t>
      </w:r>
      <w:r>
        <w:rPr>
          <w:rFonts w:cs="Times New Roman"/>
        </w:rPr>
        <w:noBreakHyphen/>
      </w:r>
      <w:r w:rsidRPr="005E5D83">
        <w:rPr>
          <w:rFonts w:cs="Times New Roman"/>
        </w:rPr>
        <w:t>42  Nays</w:t>
      </w:r>
      <w:r>
        <w:rPr>
          <w:rFonts w:cs="Times New Roman"/>
        </w:rPr>
        <w:noBreakHyphen/>
      </w:r>
      <w:r w:rsidRPr="005E5D83">
        <w:rPr>
          <w:rFonts w:cs="Times New Roman"/>
        </w:rPr>
        <w:t>0 (</w:t>
      </w:r>
      <w:hyperlink r:id="rId23" w:history="1">
        <w:r w:rsidRPr="00660C2C">
          <w:rPr>
            <w:rStyle w:val="Hyperlink"/>
            <w:rFonts w:cs="Times New Roman"/>
          </w:rPr>
          <w:t>Senate Journal</w:t>
        </w:r>
        <w:r w:rsidRPr="00660C2C">
          <w:rPr>
            <w:rStyle w:val="Hyperlink"/>
            <w:rFonts w:cs="Times New Roman"/>
          </w:rPr>
          <w:noBreakHyphen/>
          <w:t>page 26</w:t>
        </w:r>
      </w:hyperlink>
      <w:r w:rsidRPr="005E5D83">
        <w:rPr>
          <w:rFonts w:cs="Times New Roman"/>
        </w:rPr>
        <w:t>)</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5E5D83">
        <w:rPr>
          <w:rFonts w:cs="Times New Roman"/>
        </w:rPr>
        <w:t>Ratified R 58</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6/1/2015</w:t>
      </w:r>
      <w:r>
        <w:rPr>
          <w:rFonts w:cs="Times New Roman"/>
        </w:rPr>
        <w:tab/>
      </w:r>
      <w:r>
        <w:rPr>
          <w:rFonts w:cs="Times New Roman"/>
        </w:rPr>
        <w:tab/>
      </w:r>
      <w:r w:rsidRPr="005E5D83">
        <w:rPr>
          <w:rFonts w:cs="Times New Roman"/>
        </w:rPr>
        <w:t>Signed By Governor</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r>
      <w:r>
        <w:rPr>
          <w:rFonts w:cs="Times New Roman"/>
        </w:rPr>
        <w:tab/>
      </w:r>
      <w:r w:rsidRPr="005E5D83">
        <w:rPr>
          <w:rFonts w:cs="Times New Roman"/>
        </w:rPr>
        <w:t>Effective date 06/01/15</w:t>
      </w:r>
    </w:p>
    <w:p w:rsidR="00C13A5C" w:rsidRDefault="00C13A5C" w:rsidP="00C13A5C">
      <w:pPr>
        <w:widowControl w:val="0"/>
        <w:tabs>
          <w:tab w:val="right" w:pos="1008"/>
          <w:tab w:val="left" w:pos="1152"/>
          <w:tab w:val="left" w:pos="1872"/>
          <w:tab w:val="left" w:pos="9187"/>
        </w:tabs>
        <w:ind w:left="2088" w:hanging="2088"/>
        <w:rPr>
          <w:rFonts w:cs="Times New Roman"/>
        </w:rPr>
      </w:pPr>
      <w:r>
        <w:rPr>
          <w:rFonts w:cs="Times New Roman"/>
        </w:rPr>
        <w:tab/>
        <w:t>6/5/2015</w:t>
      </w:r>
      <w:r>
        <w:rPr>
          <w:rFonts w:cs="Times New Roman"/>
        </w:rPr>
        <w:tab/>
      </w:r>
      <w:r>
        <w:rPr>
          <w:rFonts w:cs="Times New Roman"/>
        </w:rPr>
        <w:tab/>
      </w:r>
      <w:r w:rsidRPr="005E5D83">
        <w:rPr>
          <w:rFonts w:cs="Times New Roman"/>
        </w:rPr>
        <w:t>Act No</w:t>
      </w:r>
      <w:r>
        <w:rPr>
          <w:rFonts w:cs="Times New Roman"/>
        </w:rPr>
        <w:t>. </w:t>
      </w:r>
      <w:r w:rsidRPr="005E5D83">
        <w:rPr>
          <w:rFonts w:cs="Times New Roman"/>
        </w:rPr>
        <w:t>34</w:t>
      </w:r>
    </w:p>
    <w:p w:rsidR="00C13A5C" w:rsidRDefault="00C13A5C" w:rsidP="00C13A5C">
      <w:pPr>
        <w:widowControl w:val="0"/>
        <w:tabs>
          <w:tab w:val="right" w:pos="1008"/>
          <w:tab w:val="left" w:pos="1152"/>
          <w:tab w:val="left" w:pos="1872"/>
          <w:tab w:val="left" w:pos="9187"/>
        </w:tabs>
        <w:ind w:left="2088" w:hanging="2088"/>
        <w:rPr>
          <w:rFonts w:cs="Times New Roman"/>
        </w:rPr>
      </w:pPr>
    </w:p>
    <w:p w:rsidR="005D330B" w:rsidRPr="005D330B" w:rsidRDefault="005D330B" w:rsidP="005D330B">
      <w:pPr>
        <w:widowControl w:val="0"/>
        <w:tabs>
          <w:tab w:val="right" w:pos="1008"/>
          <w:tab w:val="left" w:pos="1152"/>
          <w:tab w:val="left" w:pos="1872"/>
          <w:tab w:val="left" w:pos="9187"/>
        </w:tabs>
        <w:ind w:left="2088" w:hanging="2088"/>
        <w:rPr>
          <w:rFonts w:cs="Times New Roman"/>
        </w:rPr>
      </w:pPr>
      <w:r w:rsidRPr="005D330B">
        <w:rPr>
          <w:rFonts w:cs="Times New Roman"/>
        </w:rPr>
        <w:t xml:space="preserve">View the latest </w:t>
      </w:r>
      <w:hyperlink r:id="rId24" w:history="1">
        <w:r w:rsidRPr="005D330B">
          <w:rPr>
            <w:rFonts w:cs="Times New Roman"/>
            <w:color w:val="0000FF" w:themeColor="hyperlink"/>
            <w:u w:val="single"/>
          </w:rPr>
          <w:t>legislative information</w:t>
        </w:r>
      </w:hyperlink>
      <w:r w:rsidRPr="005D330B">
        <w:rPr>
          <w:rFonts w:cs="Times New Roman"/>
        </w:rPr>
        <w:t xml:space="preserve"> at the website</w:t>
      </w:r>
    </w:p>
    <w:p w:rsidR="005D330B" w:rsidRPr="005D330B" w:rsidRDefault="005D330B" w:rsidP="005D330B">
      <w:pPr>
        <w:widowControl w:val="0"/>
        <w:tabs>
          <w:tab w:val="right" w:pos="1008"/>
          <w:tab w:val="left" w:pos="1152"/>
          <w:tab w:val="left" w:pos="1872"/>
          <w:tab w:val="left" w:pos="9187"/>
        </w:tabs>
        <w:ind w:left="2088" w:hanging="2088"/>
        <w:rPr>
          <w:rFonts w:cs="Times New Roman"/>
        </w:rPr>
      </w:pPr>
    </w:p>
    <w:p w:rsidR="005D330B" w:rsidRPr="005D330B" w:rsidRDefault="005D330B" w:rsidP="005D330B">
      <w:pPr>
        <w:widowControl w:val="0"/>
        <w:tabs>
          <w:tab w:val="right" w:pos="1008"/>
          <w:tab w:val="left" w:pos="1152"/>
          <w:tab w:val="left" w:pos="1872"/>
          <w:tab w:val="left" w:pos="9187"/>
        </w:tabs>
        <w:ind w:left="2088" w:hanging="2088"/>
        <w:rPr>
          <w:rFonts w:cs="Times New Roman"/>
        </w:rPr>
      </w:pPr>
    </w:p>
    <w:p w:rsidR="005D330B" w:rsidRPr="005D330B" w:rsidRDefault="005D330B"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D330B">
        <w:rPr>
          <w:rFonts w:cs="Times New Roman"/>
          <w:b/>
        </w:rPr>
        <w:lastRenderedPageBreak/>
        <w:t>VERSIONS OF THIS BILL</w:t>
      </w:r>
    </w:p>
    <w:p w:rsidR="005D330B" w:rsidRPr="005D330B" w:rsidRDefault="005D330B"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330B" w:rsidRPr="005D330B" w:rsidRDefault="00660C2C" w:rsidP="005D330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5D330B" w:rsidRPr="005D330B">
          <w:rPr>
            <w:rFonts w:cs="Times New Roman"/>
            <w:color w:val="0000FF" w:themeColor="hyperlink"/>
            <w:u w:val="single"/>
          </w:rPr>
          <w:t>3/24/2015</w:t>
        </w:r>
      </w:hyperlink>
    </w:p>
    <w:p w:rsidR="005D330B" w:rsidRPr="005D330B" w:rsidRDefault="00660C2C" w:rsidP="005D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5D330B" w:rsidRPr="005D330B">
          <w:rPr>
            <w:rFonts w:cs="Times New Roman"/>
            <w:color w:val="0000FF" w:themeColor="hyperlink"/>
            <w:u w:val="single"/>
          </w:rPr>
          <w:t>4/1/2015</w:t>
        </w:r>
      </w:hyperlink>
    </w:p>
    <w:p w:rsidR="005D330B" w:rsidRPr="005D330B" w:rsidRDefault="00660C2C" w:rsidP="005D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5D330B" w:rsidRPr="005D330B">
          <w:rPr>
            <w:rFonts w:cs="Times New Roman"/>
            <w:color w:val="0000FF" w:themeColor="hyperlink"/>
            <w:u w:val="single"/>
          </w:rPr>
          <w:t>4/1/2015-A</w:t>
        </w:r>
      </w:hyperlink>
    </w:p>
    <w:p w:rsidR="005D330B" w:rsidRPr="005D330B" w:rsidRDefault="00660C2C" w:rsidP="005D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5D330B" w:rsidRPr="005D330B">
          <w:rPr>
            <w:rFonts w:cs="Times New Roman"/>
            <w:color w:val="0000FF" w:themeColor="hyperlink"/>
            <w:u w:val="single"/>
          </w:rPr>
          <w:t>4/7/2015</w:t>
        </w:r>
      </w:hyperlink>
    </w:p>
    <w:p w:rsidR="005D330B" w:rsidRPr="005D330B" w:rsidRDefault="00660C2C" w:rsidP="005D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5D330B" w:rsidRPr="005D330B">
          <w:rPr>
            <w:rFonts w:cs="Times New Roman"/>
            <w:color w:val="0000FF" w:themeColor="hyperlink"/>
            <w:u w:val="single"/>
          </w:rPr>
          <w:t>4/14/2015</w:t>
        </w:r>
      </w:hyperlink>
    </w:p>
    <w:p w:rsidR="005D330B" w:rsidRPr="005D330B" w:rsidRDefault="00660C2C" w:rsidP="005D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5D330B" w:rsidRPr="005D330B">
          <w:rPr>
            <w:rFonts w:cs="Times New Roman"/>
            <w:color w:val="0000FF" w:themeColor="hyperlink"/>
            <w:u w:val="single"/>
          </w:rPr>
          <w:t>5/13/2015</w:t>
        </w:r>
      </w:hyperlink>
    </w:p>
    <w:p w:rsidR="005D330B" w:rsidRPr="005D330B" w:rsidRDefault="00660C2C" w:rsidP="005D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5D330B" w:rsidRPr="005D330B">
          <w:rPr>
            <w:rFonts w:cs="Times New Roman"/>
            <w:color w:val="0000FF" w:themeColor="hyperlink"/>
            <w:u w:val="single"/>
          </w:rPr>
          <w:t>5/14/2015</w:t>
        </w:r>
      </w:hyperlink>
    </w:p>
    <w:p w:rsidR="005D330B" w:rsidRPr="005D330B" w:rsidRDefault="00660C2C" w:rsidP="005D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5D330B" w:rsidRPr="005D330B">
          <w:rPr>
            <w:rFonts w:cs="Times New Roman"/>
            <w:color w:val="0000FF" w:themeColor="hyperlink"/>
            <w:u w:val="single"/>
          </w:rPr>
          <w:t>5/19/2015</w:t>
        </w:r>
      </w:hyperlink>
    </w:p>
    <w:p w:rsidR="005D330B" w:rsidRPr="005D330B" w:rsidRDefault="00660C2C" w:rsidP="005D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5D330B" w:rsidRPr="005D330B">
          <w:rPr>
            <w:rFonts w:cs="Times New Roman"/>
            <w:color w:val="0000FF" w:themeColor="hyperlink"/>
            <w:u w:val="single"/>
          </w:rPr>
          <w:t>5/20/2015</w:t>
        </w:r>
      </w:hyperlink>
    </w:p>
    <w:p w:rsidR="005D330B" w:rsidRPr="005D330B" w:rsidRDefault="005D330B" w:rsidP="005D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D330B" w:rsidRDefault="005D330B" w:rsidP="005D330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D330B" w:rsidSect="005D330B">
          <w:pgSz w:w="12240" w:h="15840" w:code="1"/>
          <w:pgMar w:top="1080" w:right="1440" w:bottom="1080" w:left="1440" w:header="720" w:footer="720" w:gutter="0"/>
          <w:pgNumType w:start="1"/>
          <w:cols w:space="720"/>
          <w:noEndnote/>
          <w:docGrid w:linePitch="360"/>
        </w:sectPr>
      </w:pPr>
    </w:p>
    <w:p w:rsidR="003E4458"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(A34, R58, S590)</w:t>
      </w:r>
    </w:p>
    <w:p w:rsidR="003E4458" w:rsidRPr="008836A5"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E4458" w:rsidRPr="005D330B"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D330B">
        <w:rPr>
          <w:rFonts w:cs="Times New Roman"/>
          <w:b/>
          <w:color w:val="000000" w:themeColor="text1"/>
          <w:szCs w:val="36"/>
        </w:rPr>
        <w:t xml:space="preserve">AN ACT </w:t>
      </w:r>
      <w:r w:rsidRPr="005D330B">
        <w:rPr>
          <w:rFonts w:eastAsia="Times New Roman" w:cs="Times New Roman"/>
          <w:b/>
          <w:color w:val="000000" w:themeColor="text1"/>
          <w:u w:color="000000" w:themeColor="text1"/>
        </w:rPr>
        <w:t>TO AMEND SECTION 56</w:t>
      </w:r>
      <w:r w:rsidRPr="005D330B">
        <w:rPr>
          <w:rFonts w:eastAsia="Times New Roman" w:cs="Times New Roman"/>
          <w:b/>
          <w:color w:val="000000" w:themeColor="text1"/>
          <w:u w:color="000000" w:themeColor="text1"/>
        </w:rPr>
        <w:noBreakHyphen/>
        <w:t>1</w:t>
      </w:r>
      <w:r w:rsidRPr="005D330B">
        <w:rPr>
          <w:rFonts w:eastAsia="Times New Roman" w:cs="Times New Roman"/>
          <w:b/>
          <w:color w:val="000000" w:themeColor="text1"/>
          <w:u w:color="000000" w:themeColor="text1"/>
        </w:rPr>
        <w:noBreakHyphen/>
        <w:t>400, AS AMENDED, CODE OF LAWS OF SOUTH CAROLINA, 1976, RELATING TO THE DEPARTMENT OF MOTOR VEHICLES’ PROCEDURE TO ISSUE A DRIVER’S LICENSE TO A PERSON WHOSE DRIVER’S LICENSE WAS SUSPENDED OR REVOKED, AND THE RESTRICTIONS IMPOSED UPON A DRIVER’S LICENSE ISSUED TO A PERSON WHO IS PERMITTED TO OPERATE A MOTOR VEHICLE WITH AN IGNITION INTERLOCK DEVICE INSTALLED, SO AS TO PROVIDE THAT THE VEHICLE WAIVER THAT PROVIDES THAT AN EMPLOYER IS NOT REQUIRED TO INSTALL AN IGNITION INTERLOCK DEVICE ON A VEHICLE OPERATED BY AN EMPLOYEE WHO HAS BEEN ISSUED AN IGNITION INTERLOCK DEVICE RESTRICTED DRIVER’S LICENSE DOES NOT APPLY UNDER CERTAIN CIRCUMSTANCES TO A PERSON CONVICTED OF A SECOND OR SUBSEQUENT VIOLATION OF CERTAIN PROVISIONS THAT MAKE IT UNLAWFUL TO OPERATE A VEHICLE WHILE UNDER THE INFLUENCE OF ALCOHOL OR DRUGS, OR WITH AN UNLAWFUL ALCOHOL CONCENTRATION; TO AMEND SECTION 56</w:t>
      </w:r>
      <w:r w:rsidRPr="005D330B">
        <w:rPr>
          <w:rFonts w:eastAsia="Times New Roman" w:cs="Times New Roman"/>
          <w:b/>
          <w:color w:val="000000" w:themeColor="text1"/>
          <w:u w:color="000000" w:themeColor="text1"/>
        </w:rPr>
        <w:noBreakHyphen/>
        <w:t>5</w:t>
      </w:r>
      <w:r w:rsidRPr="005D330B">
        <w:rPr>
          <w:rFonts w:eastAsia="Times New Roman" w:cs="Times New Roman"/>
          <w:b/>
          <w:color w:val="000000" w:themeColor="text1"/>
          <w:u w:color="000000" w:themeColor="text1"/>
        </w:rPr>
        <w:noBreakHyphen/>
        <w:t>2990, AS AMENDED, RELATING TO THE SUSPENSION OF THE DRIVER’S LICENSE OF A PERSON CONVICTED OF A PROVISION THAT PROHIBITS A PERSON FROM DRIVING A MOTOR VEHICLE WHILE UNDER THE INFLUENCE OF ALCOHOL OR OTHER DRUGS, SO AS TO MAKE TECHNICAL CHANGES; TO AMEND SECTION 56</w:t>
      </w:r>
      <w:r w:rsidRPr="005D330B">
        <w:rPr>
          <w:rFonts w:eastAsia="Times New Roman" w:cs="Times New Roman"/>
          <w:b/>
          <w:color w:val="000000" w:themeColor="text1"/>
          <w:u w:color="000000" w:themeColor="text1"/>
        </w:rPr>
        <w:noBreakHyphen/>
        <w:t>5</w:t>
      </w:r>
      <w:r w:rsidRPr="005D330B">
        <w:rPr>
          <w:rFonts w:eastAsia="Times New Roman" w:cs="Times New Roman"/>
          <w:b/>
          <w:color w:val="000000" w:themeColor="text1"/>
          <w:u w:color="000000" w:themeColor="text1"/>
        </w:rPr>
        <w:noBreakHyphen/>
        <w:t>2941, AS AMENDED, RELATING TO THE REQUIRED INSTALLATION OF IGNITION INTERLOCK DEVICES ON MOTOR VEHICLES OPERATED BY CERTAIN PERSONS WHO HAVE BEEN CONVICTED OF OFFENSES THAT INVOLVE THE OPERATION OF A MOTOR VEHICLE WHILE UNDER THE INFLUENCE OF ALCOHOL OR DRUGS, OR OPERATING A MOTOR VEHICLE WITH AN UNLAWFUL ALCOHOL CONCENTRATION, SO AS TO PROVIDE FOR THE ASSESSMENT OF ONE AND ONE</w:t>
      </w:r>
      <w:r w:rsidRPr="005D330B">
        <w:rPr>
          <w:rFonts w:eastAsia="Times New Roman" w:cs="Times New Roman"/>
          <w:b/>
          <w:color w:val="000000" w:themeColor="text1"/>
          <w:u w:color="000000" w:themeColor="text1"/>
        </w:rPr>
        <w:noBreakHyphen/>
        <w:t>HALF IGNITION INTERLOCK DEVICE POINTS TO A PERSON WHOSE IGNITION INTERLOCK DEVICE INSPECTION REPORT OR PHOTOGRAPHIC IMAGES COLLECTED BY THE DEVICE SHOW A VIOLATION OF CERTAIN PROVISIONS GOVERNING THE OPERATION OF THE DEVICE, TO PROVIDE THAT THE VEHICLE WAIVER THAT PROVIDES THAT AN EMPLOYER IS NOT REQUIRED TO INSTALL AN IGNITION INTERLOCK DEVICE ON A VEHICLE OPERATED BY AN EMPLOYEE WHO IS SUBJECT TO THE IGNITION INTERLOCK DEVICE DRIVING RESTRICTIONS DOES NOT APPLY UNDER CERTAIN CIRCUMSTANCES TO A PERSON CONVICTED OF A SECOND OR SUBSEQUENT VIOLATION OF CERTAIN PROVISIONS THAT MAKE IT UNLAWFUL TO OPERATE A MOTOR VEHICLE WHILE UNDER THE INFLUENCE OF ALCOHOL OR DRUGS, OR WITH AN UNLAWFUL ALCOHOL CONCENTRATION, TO PROVIDE ADDITIONAL CONDUCT THAT CONSTITUTES THE UNLAWFUL OPERATION OF AN IGNITION INTERLOCK DEVICE, TO PROVIDE FOR THE PURGING OF PHOTOGRAPHIC IMAGES COLLECTED ON THE IGNITION INTERLOCK DEVICES AND PERSONAL INFORMATION REGARDING A PERSON’S PARTICIPATION IN THE IGNITION INTERLOCK DEVICES PROGRAM, AND TO PROVIDE THAT THIS SECTION APPLIES RETROACTIVELY TO CERTAIN PERSONS SERVING A SUSPENSION OR DENIAL OF THE ISSUANCE OF A DRIVER’S LICENSE OR PERMIT.</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20EAD">
        <w:rPr>
          <w:rFonts w:eastAsia="Times New Roman" w:cs="Times New Roman"/>
        </w:rPr>
        <w:t>Be it enacted by the General Assembly of the State of South Carolina:</w:t>
      </w:r>
    </w:p>
    <w:p w:rsidR="003E4458"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E4458" w:rsidRPr="005674F8"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Ignition interlock d</w:t>
      </w:r>
      <w:r w:rsidRPr="005674F8">
        <w:rPr>
          <w:rFonts w:eastAsia="Times New Roman" w:cs="Times New Roman"/>
          <w:b/>
        </w:rPr>
        <w:t>evice</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520EAD">
        <w:rPr>
          <w:rFonts w:eastAsia="Times New Roman" w:cs="Times New Roman"/>
          <w:color w:val="000000" w:themeColor="text1"/>
          <w:u w:color="000000" w:themeColor="text1"/>
        </w:rPr>
        <w:t>SECTION</w:t>
      </w:r>
      <w:r w:rsidRPr="00520EAD">
        <w:rPr>
          <w:rFonts w:eastAsia="Times New Roman" w:cs="Times New Roman"/>
          <w:color w:val="000000" w:themeColor="text1"/>
          <w:u w:color="000000" w:themeColor="text1"/>
        </w:rPr>
        <w:tab/>
        <w:t>1.</w:t>
      </w:r>
      <w:r w:rsidRPr="00520EAD">
        <w:rPr>
          <w:rFonts w:eastAsia="Times New Roman" w:cs="Times New Roman"/>
          <w:color w:val="000000" w:themeColor="text1"/>
          <w:u w:color="000000" w:themeColor="text1"/>
        </w:rPr>
        <w:tab/>
        <w:t>Section 56</w:t>
      </w:r>
      <w:r>
        <w:rPr>
          <w:rFonts w:eastAsia="Times New Roman" w:cs="Times New Roman"/>
          <w:color w:val="000000" w:themeColor="text1"/>
          <w:u w:color="000000" w:themeColor="text1"/>
        </w:rPr>
        <w:noBreakHyphen/>
      </w:r>
      <w:r w:rsidRPr="00520EAD">
        <w:rPr>
          <w:rFonts w:eastAsia="Times New Roman" w:cs="Times New Roman"/>
          <w:color w:val="000000" w:themeColor="text1"/>
          <w:u w:color="000000" w:themeColor="text1"/>
        </w:rPr>
        <w:t>1</w:t>
      </w:r>
      <w:r>
        <w:rPr>
          <w:rFonts w:eastAsia="Times New Roman" w:cs="Times New Roman"/>
          <w:color w:val="000000" w:themeColor="text1"/>
          <w:u w:color="000000" w:themeColor="text1"/>
        </w:rPr>
        <w:noBreakHyphen/>
      </w:r>
      <w:r w:rsidRPr="00520EAD">
        <w:rPr>
          <w:rFonts w:eastAsia="Times New Roman" w:cs="Times New Roman"/>
          <w:color w:val="000000" w:themeColor="text1"/>
          <w:u w:color="000000" w:themeColor="text1"/>
        </w:rPr>
        <w:t>400(B) of the 1976 Code</w:t>
      </w:r>
      <w:r>
        <w:rPr>
          <w:rFonts w:eastAsia="Times New Roman" w:cs="Times New Roman"/>
          <w:color w:val="000000" w:themeColor="text1"/>
          <w:u w:color="000000" w:themeColor="text1"/>
        </w:rPr>
        <w:t>, as last amended by Act 158 of 2014,</w:t>
      </w:r>
      <w:r w:rsidRPr="00520EAD">
        <w:rPr>
          <w:rFonts w:eastAsia="Times New Roman" w:cs="Times New Roman"/>
          <w:color w:val="000000" w:themeColor="text1"/>
          <w:u w:color="000000" w:themeColor="text1"/>
        </w:rPr>
        <w:t xml:space="preserve"> is </w:t>
      </w:r>
      <w:r>
        <w:rPr>
          <w:rFonts w:eastAsia="Times New Roman" w:cs="Times New Roman"/>
          <w:color w:val="000000" w:themeColor="text1"/>
          <w:u w:color="000000" w:themeColor="text1"/>
        </w:rPr>
        <w:t xml:space="preserve">further </w:t>
      </w:r>
      <w:r w:rsidRPr="00520EAD">
        <w:rPr>
          <w:rFonts w:eastAsia="Times New Roman" w:cs="Times New Roman"/>
          <w:color w:val="000000" w:themeColor="text1"/>
          <w:u w:color="000000" w:themeColor="text1"/>
        </w:rPr>
        <w:t>amended to read:</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0EAD">
        <w:rPr>
          <w:rFonts w:eastAsia="Times New Roman" w:cs="Times New Roman"/>
          <w:color w:val="000000" w:themeColor="text1"/>
          <w:u w:color="000000" w:themeColor="text1"/>
        </w:rPr>
        <w:tab/>
        <w:t>“</w:t>
      </w:r>
      <w:r w:rsidRPr="00520EAD">
        <w:rPr>
          <w:rFonts w:cs="Times New Roman"/>
          <w:color w:val="000000" w:themeColor="text1"/>
          <w:u w:color="000000" w:themeColor="text1"/>
        </w:rPr>
        <w:t>(B)(1)</w:t>
      </w:r>
      <w:r w:rsidRPr="00520EAD">
        <w:rPr>
          <w:rFonts w:cs="Times New Roman"/>
          <w:color w:val="000000" w:themeColor="text1"/>
          <w:u w:color="000000" w:themeColor="text1"/>
        </w:rPr>
        <w:tab/>
      </w:r>
      <w:r w:rsidRPr="00520EAD">
        <w:rPr>
          <w:rFonts w:cs="Times New Roman"/>
          <w:color w:val="000000" w:themeColor="text1"/>
          <w:u w:color="000000" w:themeColor="text1"/>
        </w:rPr>
        <w:tab/>
        <w:t>A person who does not own a vehicle, as shown in the Department of Motor Vehicles</w:t>
      </w:r>
      <w:r w:rsidRPr="00A03462">
        <w:rPr>
          <w:rFonts w:cs="Times New Roman"/>
          <w:color w:val="000000" w:themeColor="text1"/>
          <w:u w:color="000000" w:themeColor="text1"/>
        </w:rPr>
        <w:t>’</w:t>
      </w:r>
      <w:r w:rsidRPr="00520EAD">
        <w:rPr>
          <w:rFonts w:cs="Times New Roman"/>
          <w:color w:val="000000" w:themeColor="text1"/>
          <w:u w:color="000000" w:themeColor="text1"/>
        </w:rPr>
        <w:t xml:space="preserve"> records, and who certifies that the person:</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0EAD">
        <w:rPr>
          <w:rFonts w:cs="Times New Roman"/>
          <w:color w:val="000000" w:themeColor="text1"/>
          <w:u w:color="000000" w:themeColor="text1"/>
        </w:rPr>
        <w:tab/>
      </w:r>
      <w:r w:rsidRPr="00520EAD">
        <w:rPr>
          <w:rFonts w:cs="Times New Roman"/>
          <w:color w:val="000000" w:themeColor="text1"/>
          <w:u w:color="000000" w:themeColor="text1"/>
        </w:rPr>
        <w:tab/>
      </w:r>
      <w:r w:rsidRPr="00520EAD">
        <w:rPr>
          <w:rFonts w:cs="Times New Roman"/>
          <w:color w:val="000000" w:themeColor="text1"/>
          <w:u w:color="000000" w:themeColor="text1"/>
        </w:rPr>
        <w:tab/>
        <w:t>(a)</w:t>
      </w:r>
      <w:r w:rsidRPr="00520EAD">
        <w:rPr>
          <w:rFonts w:cs="Times New Roman"/>
          <w:color w:val="000000" w:themeColor="text1"/>
          <w:u w:color="000000" w:themeColor="text1"/>
        </w:rPr>
        <w:tab/>
        <w:t>cannot obtain a vehicle owner</w:t>
      </w:r>
      <w:r w:rsidRPr="00A03462">
        <w:rPr>
          <w:rFonts w:cs="Times New Roman"/>
          <w:color w:val="000000" w:themeColor="text1"/>
          <w:u w:color="000000" w:themeColor="text1"/>
        </w:rPr>
        <w:t>’</w:t>
      </w:r>
      <w:r w:rsidRPr="00520EAD">
        <w:rPr>
          <w:rFonts w:cs="Times New Roman"/>
          <w:color w:val="000000" w:themeColor="text1"/>
          <w:u w:color="000000" w:themeColor="text1"/>
        </w:rPr>
        <w:t>s permission to have an ignition interlock device installed on a vehicle;</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0EAD">
        <w:rPr>
          <w:rFonts w:cs="Times New Roman"/>
          <w:color w:val="000000" w:themeColor="text1"/>
          <w:u w:color="000000" w:themeColor="text1"/>
        </w:rPr>
        <w:tab/>
      </w:r>
      <w:r w:rsidRPr="00520EAD">
        <w:rPr>
          <w:rFonts w:cs="Times New Roman"/>
          <w:color w:val="000000" w:themeColor="text1"/>
          <w:u w:color="000000" w:themeColor="text1"/>
        </w:rPr>
        <w:tab/>
      </w:r>
      <w:r w:rsidRPr="00520EAD">
        <w:rPr>
          <w:rFonts w:cs="Times New Roman"/>
          <w:color w:val="000000" w:themeColor="text1"/>
          <w:u w:color="000000" w:themeColor="text1"/>
        </w:rPr>
        <w:tab/>
        <w:t>(b)</w:t>
      </w:r>
      <w:r w:rsidRPr="00520EAD">
        <w:rPr>
          <w:rFonts w:cs="Times New Roman"/>
          <w:color w:val="000000" w:themeColor="text1"/>
          <w:u w:color="000000" w:themeColor="text1"/>
        </w:rPr>
        <w:tab/>
        <w:t>will not be driving a vehicle other than a vehicle owned by the person</w:t>
      </w:r>
      <w:r w:rsidRPr="00A03462">
        <w:rPr>
          <w:rFonts w:cs="Times New Roman"/>
          <w:color w:val="000000" w:themeColor="text1"/>
          <w:u w:color="000000" w:themeColor="text1"/>
        </w:rPr>
        <w:t>’</w:t>
      </w:r>
      <w:r w:rsidRPr="00520EAD">
        <w:rPr>
          <w:rFonts w:cs="Times New Roman"/>
          <w:color w:val="000000" w:themeColor="text1"/>
          <w:u w:color="000000" w:themeColor="text1"/>
        </w:rPr>
        <w:t>s employer; and</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0EAD">
        <w:rPr>
          <w:rFonts w:cs="Times New Roman"/>
          <w:color w:val="000000" w:themeColor="text1"/>
          <w:u w:color="000000" w:themeColor="text1"/>
        </w:rPr>
        <w:tab/>
      </w:r>
      <w:r w:rsidRPr="00520EAD">
        <w:rPr>
          <w:rFonts w:cs="Times New Roman"/>
          <w:color w:val="000000" w:themeColor="text1"/>
          <w:u w:color="000000" w:themeColor="text1"/>
        </w:rPr>
        <w:tab/>
      </w:r>
      <w:r w:rsidRPr="00520EAD">
        <w:rPr>
          <w:rFonts w:cs="Times New Roman"/>
          <w:color w:val="000000" w:themeColor="text1"/>
          <w:u w:color="000000" w:themeColor="text1"/>
        </w:rPr>
        <w:tab/>
        <w:t>(c)</w:t>
      </w:r>
      <w:r w:rsidRPr="00520EAD">
        <w:rPr>
          <w:rFonts w:cs="Times New Roman"/>
          <w:color w:val="000000" w:themeColor="text1"/>
          <w:u w:color="000000" w:themeColor="text1"/>
        </w:rPr>
        <w:tab/>
        <w:t xml:space="preserve">will not own a vehicle during the </w:t>
      </w:r>
      <w:r>
        <w:rPr>
          <w:rFonts w:cs="Times New Roman"/>
          <w:color w:val="000000" w:themeColor="text1"/>
          <w:u w:color="000000" w:themeColor="text1"/>
        </w:rPr>
        <w:t xml:space="preserve">ignition </w:t>
      </w:r>
      <w:r w:rsidRPr="00520EAD">
        <w:rPr>
          <w:rFonts w:cs="Times New Roman"/>
          <w:color w:val="000000" w:themeColor="text1"/>
          <w:u w:color="000000" w:themeColor="text1"/>
        </w:rPr>
        <w:t>interlock period, may petition the department, on a form provided by the department, for issuance of an ignition interlock restricted license that permits the person to operate a vehicle specified by the employee according to the employer</w:t>
      </w:r>
      <w:r w:rsidRPr="00A03462">
        <w:rPr>
          <w:rFonts w:cs="Times New Roman"/>
          <w:color w:val="000000" w:themeColor="text1"/>
          <w:u w:color="000000" w:themeColor="text1"/>
        </w:rPr>
        <w:t>’</w:t>
      </w:r>
      <w:r w:rsidRPr="00520EAD">
        <w:rPr>
          <w:rFonts w:cs="Times New Roman"/>
          <w:color w:val="000000" w:themeColor="text1"/>
          <w:u w:color="000000" w:themeColor="text1"/>
        </w:rPr>
        <w:t>s needs as contained in the employer</w:t>
      </w:r>
      <w:r w:rsidRPr="00A03462">
        <w:rPr>
          <w:rFonts w:cs="Times New Roman"/>
          <w:color w:val="000000" w:themeColor="text1"/>
          <w:u w:color="000000" w:themeColor="text1"/>
        </w:rPr>
        <w:t>’</w:t>
      </w:r>
      <w:r w:rsidRPr="00520EAD">
        <w:rPr>
          <w:rFonts w:cs="Times New Roman"/>
          <w:color w:val="000000" w:themeColor="text1"/>
          <w:u w:color="000000" w:themeColor="text1"/>
        </w:rPr>
        <w:t>s statement during the days and hours specified in the employer</w:t>
      </w:r>
      <w:r w:rsidRPr="00A03462">
        <w:rPr>
          <w:rFonts w:cs="Times New Roman"/>
          <w:color w:val="000000" w:themeColor="text1"/>
          <w:u w:color="000000" w:themeColor="text1"/>
        </w:rPr>
        <w:t>’</w:t>
      </w:r>
      <w:r w:rsidRPr="00520EAD">
        <w:rPr>
          <w:rFonts w:cs="Times New Roman"/>
          <w:color w:val="000000" w:themeColor="text1"/>
          <w:u w:color="000000" w:themeColor="text1"/>
        </w:rPr>
        <w:t>s statement without having to show that an ignition interlock device has been installed.</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0EAD">
        <w:rPr>
          <w:rFonts w:cs="Times New Roman"/>
          <w:color w:val="000000" w:themeColor="text1"/>
          <w:u w:color="000000" w:themeColor="text1"/>
        </w:rPr>
        <w:tab/>
      </w:r>
      <w:r w:rsidRPr="00520EAD">
        <w:rPr>
          <w:rFonts w:cs="Times New Roman"/>
          <w:color w:val="000000" w:themeColor="text1"/>
          <w:u w:color="000000" w:themeColor="text1"/>
        </w:rPr>
        <w:tab/>
        <w:t>(2)</w:t>
      </w:r>
      <w:r w:rsidRPr="00520EAD">
        <w:rPr>
          <w:rFonts w:cs="Times New Roman"/>
          <w:color w:val="000000" w:themeColor="text1"/>
          <w:u w:color="000000" w:themeColor="text1"/>
        </w:rPr>
        <w:tab/>
        <w:t>The form must contain:</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0EAD">
        <w:rPr>
          <w:rFonts w:cs="Times New Roman"/>
          <w:color w:val="000000" w:themeColor="text1"/>
          <w:u w:color="000000" w:themeColor="text1"/>
        </w:rPr>
        <w:tab/>
      </w:r>
      <w:r w:rsidRPr="00520EAD">
        <w:rPr>
          <w:rFonts w:cs="Times New Roman"/>
          <w:color w:val="000000" w:themeColor="text1"/>
          <w:u w:color="000000" w:themeColor="text1"/>
        </w:rPr>
        <w:tab/>
      </w:r>
      <w:r w:rsidRPr="00520EAD">
        <w:rPr>
          <w:rFonts w:cs="Times New Roman"/>
          <w:color w:val="000000" w:themeColor="text1"/>
          <w:u w:color="000000" w:themeColor="text1"/>
        </w:rPr>
        <w:tab/>
        <w:t>(a)</w:t>
      </w:r>
      <w:r w:rsidRPr="00520EAD">
        <w:rPr>
          <w:rFonts w:cs="Times New Roman"/>
          <w:color w:val="000000" w:themeColor="text1"/>
          <w:u w:color="000000" w:themeColor="text1"/>
        </w:rPr>
        <w:tab/>
        <w:t>identifying information about the employer</w:t>
      </w:r>
      <w:r w:rsidRPr="00A03462">
        <w:rPr>
          <w:rFonts w:cs="Times New Roman"/>
          <w:color w:val="000000" w:themeColor="text1"/>
          <w:u w:color="000000" w:themeColor="text1"/>
        </w:rPr>
        <w:t>’</w:t>
      </w:r>
      <w:r w:rsidRPr="00520EAD">
        <w:rPr>
          <w:rFonts w:cs="Times New Roman"/>
          <w:color w:val="000000" w:themeColor="text1"/>
          <w:u w:color="000000" w:themeColor="text1"/>
        </w:rPr>
        <w:t>s noncommercial vehicles that the person will be operating;</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0EAD">
        <w:rPr>
          <w:rFonts w:cs="Times New Roman"/>
          <w:color w:val="000000" w:themeColor="text1"/>
          <w:u w:color="000000" w:themeColor="text1"/>
        </w:rPr>
        <w:tab/>
      </w:r>
      <w:r w:rsidRPr="00520EAD">
        <w:rPr>
          <w:rFonts w:cs="Times New Roman"/>
          <w:color w:val="000000" w:themeColor="text1"/>
          <w:u w:color="000000" w:themeColor="text1"/>
        </w:rPr>
        <w:tab/>
      </w:r>
      <w:r w:rsidRPr="00520EAD">
        <w:rPr>
          <w:rFonts w:cs="Times New Roman"/>
          <w:color w:val="000000" w:themeColor="text1"/>
          <w:u w:color="000000" w:themeColor="text1"/>
        </w:rPr>
        <w:tab/>
        <w:t>(b)</w:t>
      </w:r>
      <w:r w:rsidRPr="00520EAD">
        <w:rPr>
          <w:rFonts w:cs="Times New Roman"/>
          <w:color w:val="000000" w:themeColor="text1"/>
          <w:u w:color="000000" w:themeColor="text1"/>
        </w:rPr>
        <w:tab/>
        <w:t>a statement that explains the circumstances in which the person will be operating the employer</w:t>
      </w:r>
      <w:r w:rsidRPr="00A03462">
        <w:rPr>
          <w:rFonts w:cs="Times New Roman"/>
          <w:color w:val="000000" w:themeColor="text1"/>
          <w:u w:color="000000" w:themeColor="text1"/>
        </w:rPr>
        <w:t>’</w:t>
      </w:r>
      <w:r w:rsidRPr="00520EAD">
        <w:rPr>
          <w:rFonts w:cs="Times New Roman"/>
          <w:color w:val="000000" w:themeColor="text1"/>
          <w:u w:color="000000" w:themeColor="text1"/>
        </w:rPr>
        <w:t>s vehicles; and</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0EAD">
        <w:rPr>
          <w:rFonts w:cs="Times New Roman"/>
          <w:color w:val="000000" w:themeColor="text1"/>
          <w:u w:color="000000" w:themeColor="text1"/>
        </w:rPr>
        <w:tab/>
      </w:r>
      <w:r w:rsidRPr="00520EAD">
        <w:rPr>
          <w:rFonts w:cs="Times New Roman"/>
          <w:color w:val="000000" w:themeColor="text1"/>
          <w:u w:color="000000" w:themeColor="text1"/>
        </w:rPr>
        <w:tab/>
      </w:r>
      <w:r w:rsidRPr="00520EAD">
        <w:rPr>
          <w:rFonts w:cs="Times New Roman"/>
          <w:color w:val="000000" w:themeColor="text1"/>
          <w:u w:color="000000" w:themeColor="text1"/>
        </w:rPr>
        <w:tab/>
        <w:t>(c)</w:t>
      </w:r>
      <w:r w:rsidRPr="00520EAD">
        <w:rPr>
          <w:rFonts w:cs="Times New Roman"/>
          <w:color w:val="000000" w:themeColor="text1"/>
          <w:u w:color="000000" w:themeColor="text1"/>
        </w:rPr>
        <w:tab/>
        <w:t>the notarized signature of the person</w:t>
      </w:r>
      <w:r w:rsidRPr="00A03462">
        <w:rPr>
          <w:rFonts w:cs="Times New Roman"/>
          <w:color w:val="000000" w:themeColor="text1"/>
          <w:u w:color="000000" w:themeColor="text1"/>
        </w:rPr>
        <w:t>’</w:t>
      </w:r>
      <w:r w:rsidRPr="00520EAD">
        <w:rPr>
          <w:rFonts w:cs="Times New Roman"/>
          <w:color w:val="000000" w:themeColor="text1"/>
          <w:u w:color="000000" w:themeColor="text1"/>
        </w:rPr>
        <w:t>s employer.</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0EAD">
        <w:rPr>
          <w:rFonts w:cs="Times New Roman"/>
          <w:color w:val="000000" w:themeColor="text1"/>
          <w:u w:color="000000" w:themeColor="text1"/>
        </w:rPr>
        <w:tab/>
      </w:r>
      <w:r w:rsidRPr="00520EAD">
        <w:rPr>
          <w:rFonts w:cs="Times New Roman"/>
          <w:color w:val="000000" w:themeColor="text1"/>
          <w:u w:color="000000" w:themeColor="text1"/>
        </w:rPr>
        <w:tab/>
        <w:t>(3)</w:t>
      </w:r>
      <w:r w:rsidRPr="00520EAD">
        <w:rPr>
          <w:rFonts w:cs="Times New Roman"/>
          <w:color w:val="000000" w:themeColor="text1"/>
          <w:u w:color="000000" w:themeColor="text1"/>
        </w:rPr>
        <w:tab/>
        <w:t>This subsection does not apply to:</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0EAD">
        <w:rPr>
          <w:rFonts w:cs="Times New Roman"/>
          <w:color w:val="000000" w:themeColor="text1"/>
          <w:u w:color="000000" w:themeColor="text1"/>
        </w:rPr>
        <w:tab/>
      </w:r>
      <w:r w:rsidRPr="00520EAD">
        <w:rPr>
          <w:rFonts w:cs="Times New Roman"/>
          <w:color w:val="000000" w:themeColor="text1"/>
          <w:u w:color="000000" w:themeColor="text1"/>
        </w:rPr>
        <w:tab/>
      </w:r>
      <w:r w:rsidRPr="00520EAD">
        <w:rPr>
          <w:rFonts w:cs="Times New Roman"/>
          <w:color w:val="000000" w:themeColor="text1"/>
          <w:u w:color="000000" w:themeColor="text1"/>
        </w:rPr>
        <w:tab/>
        <w:t>(a)</w:t>
      </w:r>
      <w:r w:rsidRPr="00520EAD">
        <w:rPr>
          <w:rFonts w:cs="Times New Roman"/>
          <w:color w:val="000000" w:themeColor="text1"/>
          <w:u w:color="000000" w:themeColor="text1"/>
        </w:rPr>
        <w:tab/>
        <w:t>a person convicted of a second or subsequent violation of Section 56</w:t>
      </w:r>
      <w:r>
        <w:rPr>
          <w:rFonts w:cs="Times New Roman"/>
          <w:color w:val="000000" w:themeColor="text1"/>
          <w:u w:color="000000" w:themeColor="text1"/>
        </w:rPr>
        <w:noBreakHyphen/>
      </w:r>
      <w:r w:rsidRPr="00520EAD">
        <w:rPr>
          <w:rFonts w:cs="Times New Roman"/>
          <w:color w:val="000000" w:themeColor="text1"/>
          <w:u w:color="000000" w:themeColor="text1"/>
        </w:rPr>
        <w:t>5</w:t>
      </w:r>
      <w:r>
        <w:rPr>
          <w:rFonts w:cs="Times New Roman"/>
          <w:color w:val="000000" w:themeColor="text1"/>
          <w:u w:color="000000" w:themeColor="text1"/>
        </w:rPr>
        <w:noBreakHyphen/>
      </w:r>
      <w:r w:rsidRPr="00520EAD">
        <w:rPr>
          <w:rFonts w:cs="Times New Roman"/>
          <w:color w:val="000000" w:themeColor="text1"/>
          <w:u w:color="000000" w:themeColor="text1"/>
        </w:rPr>
        <w:t>2930, 56</w:t>
      </w:r>
      <w:r>
        <w:rPr>
          <w:rFonts w:cs="Times New Roman"/>
          <w:color w:val="000000" w:themeColor="text1"/>
          <w:u w:color="000000" w:themeColor="text1"/>
        </w:rPr>
        <w:noBreakHyphen/>
      </w:r>
      <w:r w:rsidRPr="00520EAD">
        <w:rPr>
          <w:rFonts w:cs="Times New Roman"/>
          <w:color w:val="000000" w:themeColor="text1"/>
          <w:u w:color="000000" w:themeColor="text1"/>
        </w:rPr>
        <w:t>5</w:t>
      </w:r>
      <w:r>
        <w:rPr>
          <w:rFonts w:cs="Times New Roman"/>
          <w:color w:val="000000" w:themeColor="text1"/>
          <w:u w:color="000000" w:themeColor="text1"/>
        </w:rPr>
        <w:noBreakHyphen/>
      </w:r>
      <w:r w:rsidRPr="00520EAD">
        <w:rPr>
          <w:rFonts w:cs="Times New Roman"/>
          <w:color w:val="000000" w:themeColor="text1"/>
          <w:u w:color="000000" w:themeColor="text1"/>
        </w:rPr>
        <w:t>2933, 56</w:t>
      </w:r>
      <w:r>
        <w:rPr>
          <w:rFonts w:cs="Times New Roman"/>
          <w:color w:val="000000" w:themeColor="text1"/>
          <w:u w:color="000000" w:themeColor="text1"/>
        </w:rPr>
        <w:noBreakHyphen/>
      </w:r>
      <w:r w:rsidRPr="00520EAD">
        <w:rPr>
          <w:rFonts w:cs="Times New Roman"/>
          <w:color w:val="000000" w:themeColor="text1"/>
          <w:u w:color="000000" w:themeColor="text1"/>
        </w:rPr>
        <w:t>5</w:t>
      </w:r>
      <w:r>
        <w:rPr>
          <w:rFonts w:cs="Times New Roman"/>
          <w:color w:val="000000" w:themeColor="text1"/>
          <w:u w:color="000000" w:themeColor="text1"/>
        </w:rPr>
        <w:noBreakHyphen/>
      </w:r>
      <w:r w:rsidRPr="00520EAD">
        <w:rPr>
          <w:rFonts w:cs="Times New Roman"/>
          <w:color w:val="000000" w:themeColor="text1"/>
          <w:u w:color="000000" w:themeColor="text1"/>
        </w:rPr>
        <w:t>2945, or a law of another state that prohibits a person from driving a motor vehicle while under the influence of alcohol or other drugs, unless the person</w:t>
      </w:r>
      <w:r w:rsidRPr="00A03462">
        <w:rPr>
          <w:rFonts w:cs="Times New Roman"/>
          <w:color w:val="000000" w:themeColor="text1"/>
          <w:u w:color="000000" w:themeColor="text1"/>
        </w:rPr>
        <w:t>’</w:t>
      </w:r>
      <w:r w:rsidRPr="00520EAD">
        <w:rPr>
          <w:rFonts w:cs="Times New Roman"/>
          <w:color w:val="000000" w:themeColor="text1"/>
          <w:u w:color="000000" w:themeColor="text1"/>
        </w:rPr>
        <w:t>s driving privileges have been suspended for not less than one year or the person has had an ignition interlock device installed for not less than one year on each of the motor vehicles owned or operated, or both, by the person.</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0EAD">
        <w:rPr>
          <w:rFonts w:cs="Times New Roman"/>
          <w:color w:val="000000" w:themeColor="text1"/>
          <w:u w:color="000000" w:themeColor="text1"/>
        </w:rPr>
        <w:tab/>
      </w:r>
      <w:r w:rsidRPr="00520EAD">
        <w:rPr>
          <w:rFonts w:cs="Times New Roman"/>
          <w:color w:val="000000" w:themeColor="text1"/>
          <w:u w:color="000000" w:themeColor="text1"/>
        </w:rPr>
        <w:tab/>
      </w:r>
      <w:r w:rsidRPr="00520EAD">
        <w:rPr>
          <w:rFonts w:cs="Times New Roman"/>
          <w:color w:val="000000" w:themeColor="text1"/>
          <w:u w:color="000000" w:themeColor="text1"/>
        </w:rPr>
        <w:tab/>
        <w:t>(b)</w:t>
      </w:r>
      <w:r w:rsidRPr="00520EAD">
        <w:rPr>
          <w:rFonts w:cs="Times New Roman"/>
          <w:color w:val="000000" w:themeColor="text1"/>
          <w:u w:color="000000" w:themeColor="text1"/>
        </w:rPr>
        <w:tab/>
        <w:t>a person who is self</w:t>
      </w:r>
      <w:r>
        <w:rPr>
          <w:rFonts w:cs="Times New Roman"/>
          <w:color w:val="000000" w:themeColor="text1"/>
          <w:u w:color="000000" w:themeColor="text1"/>
        </w:rPr>
        <w:noBreakHyphen/>
      </w:r>
      <w:r w:rsidRPr="00520EAD">
        <w:rPr>
          <w:rFonts w:cs="Times New Roman"/>
          <w:color w:val="000000" w:themeColor="text1"/>
          <w:u w:color="000000" w:themeColor="text1"/>
        </w:rPr>
        <w:t>employed or to a person who is employed by a business owned in whole or in part by the person or a member of the person</w:t>
      </w:r>
      <w:r w:rsidRPr="00A03462">
        <w:rPr>
          <w:rFonts w:cs="Times New Roman"/>
          <w:color w:val="000000" w:themeColor="text1"/>
          <w:u w:color="000000" w:themeColor="text1"/>
        </w:rPr>
        <w:t>’</w:t>
      </w:r>
      <w:r w:rsidRPr="00520EAD">
        <w:rPr>
          <w:rFonts w:cs="Times New Roman"/>
          <w:color w:val="000000" w:themeColor="text1"/>
          <w:u w:color="000000" w:themeColor="text1"/>
        </w:rPr>
        <w:t>s household or immediate family unless during the defense of a criminal charge, the court finds that the vehicle</w:t>
      </w:r>
      <w:r w:rsidRPr="00A03462">
        <w:rPr>
          <w:rFonts w:cs="Times New Roman"/>
          <w:color w:val="000000" w:themeColor="text1"/>
          <w:u w:color="000000" w:themeColor="text1"/>
        </w:rPr>
        <w:t>’</w:t>
      </w:r>
      <w:r w:rsidRPr="00520EAD">
        <w:rPr>
          <w:rFonts w:cs="Times New Roman"/>
          <w:color w:val="000000" w:themeColor="text1"/>
          <w:u w:color="000000" w:themeColor="text1"/>
        </w:rPr>
        <w:t>s ownership by the business serves a legitimate business purpose and that titling and registration of the vehicle by the business was not done to circumvent the intent of this section.</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20EAD">
        <w:rPr>
          <w:rFonts w:cs="Times New Roman"/>
          <w:color w:val="000000" w:themeColor="text1"/>
          <w:u w:color="000000" w:themeColor="text1"/>
        </w:rPr>
        <w:tab/>
      </w:r>
      <w:r w:rsidRPr="00520EAD">
        <w:rPr>
          <w:rFonts w:cs="Times New Roman"/>
          <w:color w:val="000000" w:themeColor="text1"/>
          <w:u w:color="000000" w:themeColor="text1"/>
        </w:rPr>
        <w:tab/>
        <w:t>(4)</w:t>
      </w:r>
      <w:r w:rsidRPr="00520EAD">
        <w:rPr>
          <w:rFonts w:cs="Times New Roman"/>
          <w:color w:val="000000" w:themeColor="text1"/>
          <w:u w:color="000000" w:themeColor="text1"/>
        </w:rPr>
        <w:tab/>
        <w:t>Whenever the person operates the employer</w:t>
      </w:r>
      <w:r w:rsidRPr="00A03462">
        <w:rPr>
          <w:rFonts w:cs="Times New Roman"/>
          <w:color w:val="000000" w:themeColor="text1"/>
          <w:u w:color="000000" w:themeColor="text1"/>
        </w:rPr>
        <w:t>’</w:t>
      </w:r>
      <w:r w:rsidRPr="00520EAD">
        <w:rPr>
          <w:rFonts w:cs="Times New Roman"/>
          <w:color w:val="000000" w:themeColor="text1"/>
          <w:u w:color="000000" w:themeColor="text1"/>
        </w:rPr>
        <w:t>s vehicle pursuant to this subsection, the person shall have with the person a copy of the form specified by this subsection.</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520EAD">
        <w:rPr>
          <w:rFonts w:cs="Times New Roman"/>
          <w:color w:val="000000" w:themeColor="text1"/>
          <w:u w:color="000000" w:themeColor="text1"/>
        </w:rPr>
        <w:tab/>
      </w:r>
      <w:r w:rsidRPr="00520EAD">
        <w:rPr>
          <w:rFonts w:cs="Times New Roman"/>
          <w:color w:val="000000" w:themeColor="text1"/>
          <w:u w:color="000000" w:themeColor="text1"/>
        </w:rPr>
        <w:tab/>
        <w:t>(5)</w:t>
      </w:r>
      <w:r w:rsidRPr="00520EAD">
        <w:rPr>
          <w:rFonts w:cs="Times New Roman"/>
          <w:color w:val="000000" w:themeColor="text1"/>
          <w:u w:color="000000" w:themeColor="text1"/>
        </w:rPr>
        <w:tab/>
        <w:t>The determination of eligibility for the waiver is subject to periodic review at the discretion of the department.  The department shall revoke a waiver issued pursuant to this exemption if the department determines that the person has been driving a vehicle other than the vehicle owned by the person</w:t>
      </w:r>
      <w:r w:rsidRPr="00A03462">
        <w:rPr>
          <w:rFonts w:cs="Times New Roman"/>
          <w:color w:val="000000" w:themeColor="text1"/>
          <w:u w:color="000000" w:themeColor="text1"/>
        </w:rPr>
        <w:t>’</w:t>
      </w:r>
      <w:r w:rsidRPr="00520EAD">
        <w:rPr>
          <w:rFonts w:cs="Times New Roman"/>
          <w:color w:val="000000" w:themeColor="text1"/>
          <w:u w:color="000000" w:themeColor="text1"/>
        </w:rPr>
        <w:t>s employer or has been operating the person</w:t>
      </w:r>
      <w:r w:rsidRPr="00A03462">
        <w:rPr>
          <w:rFonts w:cs="Times New Roman"/>
          <w:color w:val="000000" w:themeColor="text1"/>
          <w:u w:color="000000" w:themeColor="text1"/>
        </w:rPr>
        <w:t>’</w:t>
      </w:r>
      <w:r w:rsidRPr="00520EAD">
        <w:rPr>
          <w:rFonts w:cs="Times New Roman"/>
          <w:color w:val="000000" w:themeColor="text1"/>
          <w:u w:color="000000" w:themeColor="text1"/>
        </w:rPr>
        <w:t>s employer</w:t>
      </w:r>
      <w:r w:rsidRPr="00A03462">
        <w:rPr>
          <w:rFonts w:cs="Times New Roman"/>
          <w:color w:val="000000" w:themeColor="text1"/>
          <w:u w:color="000000" w:themeColor="text1"/>
        </w:rPr>
        <w:t>’</w:t>
      </w:r>
      <w:r w:rsidRPr="00520EAD">
        <w:rPr>
          <w:rFonts w:cs="Times New Roman"/>
          <w:color w:val="000000" w:themeColor="text1"/>
          <w:u w:color="000000" w:themeColor="text1"/>
        </w:rPr>
        <w:t>s vehicle outside the locations, days, or hours specified by the employer in the department</w:t>
      </w:r>
      <w:r w:rsidRPr="00A03462">
        <w:rPr>
          <w:rFonts w:cs="Times New Roman"/>
          <w:color w:val="000000" w:themeColor="text1"/>
          <w:u w:color="000000" w:themeColor="text1"/>
        </w:rPr>
        <w:t>’</w:t>
      </w:r>
      <w:r w:rsidRPr="00520EAD">
        <w:rPr>
          <w:rFonts w:cs="Times New Roman"/>
          <w:color w:val="000000" w:themeColor="text1"/>
          <w:u w:color="000000" w:themeColor="text1"/>
        </w:rPr>
        <w:t>s records.  The person may seek relief from the department</w:t>
      </w:r>
      <w:r w:rsidRPr="00A03462">
        <w:rPr>
          <w:rFonts w:cs="Times New Roman"/>
          <w:color w:val="000000" w:themeColor="text1"/>
          <w:u w:color="000000" w:themeColor="text1"/>
        </w:rPr>
        <w:t>’</w:t>
      </w:r>
      <w:r w:rsidRPr="00520EAD">
        <w:rPr>
          <w:rFonts w:cs="Times New Roman"/>
          <w:color w:val="000000" w:themeColor="text1"/>
          <w:u w:color="000000" w:themeColor="text1"/>
        </w:rPr>
        <w:t>s determination by filing a request for a contested case hearing with the Office of Motor Vehicle Hearings pursuant to the Administrative Procedures Act and the rules of procedure for the Office of Motor Vehicle Hearings.”</w:t>
      </w:r>
    </w:p>
    <w:p w:rsidR="003E4458"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3E4458" w:rsidRPr="005674F8"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sidRPr="005674F8">
        <w:rPr>
          <w:rFonts w:eastAsia="Times New Roman" w:cs="Times New Roman"/>
          <w:b/>
          <w:color w:val="000000" w:themeColor="text1"/>
          <w:u w:color="000000" w:themeColor="text1"/>
        </w:rPr>
        <w:t>Alcohol and Drug Safety Action Program</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sidRPr="00520EAD">
        <w:rPr>
          <w:rFonts w:eastAsia="Times New Roman" w:cs="Times New Roman"/>
          <w:color w:val="000000" w:themeColor="text1"/>
          <w:u w:color="000000" w:themeColor="text1"/>
        </w:rPr>
        <w:t>SECTION</w:t>
      </w:r>
      <w:r w:rsidRPr="00520EAD">
        <w:rPr>
          <w:rFonts w:eastAsia="Times New Roman" w:cs="Times New Roman"/>
          <w:color w:val="000000" w:themeColor="text1"/>
          <w:u w:color="000000" w:themeColor="text1"/>
        </w:rPr>
        <w:tab/>
        <w:t>2.</w:t>
      </w:r>
      <w:r w:rsidRPr="00520EAD">
        <w:rPr>
          <w:rFonts w:eastAsia="Times New Roman" w:cs="Times New Roman"/>
          <w:color w:val="000000" w:themeColor="text1"/>
          <w:u w:color="000000" w:themeColor="text1"/>
        </w:rPr>
        <w:tab/>
        <w:t>Section 56</w:t>
      </w:r>
      <w:r>
        <w:rPr>
          <w:rFonts w:eastAsia="Times New Roman" w:cs="Times New Roman"/>
          <w:color w:val="000000" w:themeColor="text1"/>
          <w:u w:color="000000" w:themeColor="text1"/>
        </w:rPr>
        <w:noBreakHyphen/>
      </w:r>
      <w:r w:rsidRPr="00520EAD">
        <w:rPr>
          <w:rFonts w:eastAsia="Times New Roman" w:cs="Times New Roman"/>
          <w:color w:val="000000" w:themeColor="text1"/>
          <w:u w:color="000000" w:themeColor="text1"/>
        </w:rPr>
        <w:t>5</w:t>
      </w:r>
      <w:r>
        <w:rPr>
          <w:rFonts w:eastAsia="Times New Roman" w:cs="Times New Roman"/>
          <w:color w:val="000000" w:themeColor="text1"/>
          <w:u w:color="000000" w:themeColor="text1"/>
        </w:rPr>
        <w:noBreakHyphen/>
      </w:r>
      <w:r w:rsidRPr="00520EAD">
        <w:rPr>
          <w:rFonts w:eastAsia="Times New Roman" w:cs="Times New Roman"/>
          <w:color w:val="000000" w:themeColor="text1"/>
          <w:u w:color="000000" w:themeColor="text1"/>
        </w:rPr>
        <w:t>2990(B) of the 1976 Code</w:t>
      </w:r>
      <w:r>
        <w:rPr>
          <w:rFonts w:eastAsia="Times New Roman" w:cs="Times New Roman"/>
          <w:color w:val="000000" w:themeColor="text1"/>
          <w:u w:color="000000" w:themeColor="text1"/>
        </w:rPr>
        <w:t>, as last amended by Act 158 of 2014,</w:t>
      </w:r>
      <w:r w:rsidRPr="00520EAD">
        <w:rPr>
          <w:rFonts w:eastAsia="Times New Roman" w:cs="Times New Roman"/>
          <w:color w:val="000000" w:themeColor="text1"/>
          <w:u w:color="000000" w:themeColor="text1"/>
        </w:rPr>
        <w:t xml:space="preserve"> is </w:t>
      </w:r>
      <w:r>
        <w:rPr>
          <w:rFonts w:eastAsia="Times New Roman" w:cs="Times New Roman"/>
          <w:color w:val="000000" w:themeColor="text1"/>
          <w:u w:color="000000" w:themeColor="text1"/>
        </w:rPr>
        <w:t xml:space="preserve">further </w:t>
      </w:r>
      <w:r w:rsidRPr="00520EAD">
        <w:rPr>
          <w:rFonts w:eastAsia="Times New Roman" w:cs="Times New Roman"/>
          <w:color w:val="000000" w:themeColor="text1"/>
          <w:u w:color="000000" w:themeColor="text1"/>
        </w:rPr>
        <w:t>amended to read:</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20EAD">
        <w:rPr>
          <w:rFonts w:eastAsia="Times New Roman" w:cs="Times New Roman"/>
          <w:color w:val="000000" w:themeColor="text1"/>
          <w:szCs w:val="24"/>
          <w:u w:color="000000" w:themeColor="text1"/>
        </w:rPr>
        <w:tab/>
        <w:t>“</w:t>
      </w:r>
      <w:r w:rsidRPr="00520EAD">
        <w:rPr>
          <w:rFonts w:cs="Times New Roman"/>
          <w:color w:val="000000" w:themeColor="text1"/>
          <w:u w:color="000000" w:themeColor="text1"/>
        </w:rPr>
        <w:t>(B)</w:t>
      </w:r>
      <w:r w:rsidRPr="00520EAD">
        <w:rPr>
          <w:rFonts w:cs="Times New Roman"/>
          <w:color w:val="000000" w:themeColor="text1"/>
          <w:u w:color="000000" w:themeColor="text1"/>
        </w:rPr>
        <w:tab/>
        <w:t>A person whose license is suspended pursuant to this section, Section 56</w:t>
      </w:r>
      <w:r>
        <w:rPr>
          <w:rFonts w:cs="Times New Roman"/>
          <w:color w:val="000000" w:themeColor="text1"/>
          <w:u w:color="000000" w:themeColor="text1"/>
        </w:rPr>
        <w:noBreakHyphen/>
      </w:r>
      <w:r w:rsidRPr="00520EAD">
        <w:rPr>
          <w:rFonts w:cs="Times New Roman"/>
          <w:color w:val="000000" w:themeColor="text1"/>
          <w:u w:color="000000" w:themeColor="text1"/>
        </w:rPr>
        <w:t>1</w:t>
      </w:r>
      <w:r>
        <w:rPr>
          <w:rFonts w:cs="Times New Roman"/>
          <w:color w:val="000000" w:themeColor="text1"/>
          <w:u w:color="000000" w:themeColor="text1"/>
        </w:rPr>
        <w:noBreakHyphen/>
      </w:r>
      <w:r w:rsidRPr="00520EAD">
        <w:rPr>
          <w:rFonts w:cs="Times New Roman"/>
          <w:color w:val="000000" w:themeColor="text1"/>
          <w:u w:color="000000" w:themeColor="text1"/>
        </w:rPr>
        <w:t>286, 56</w:t>
      </w:r>
      <w:r>
        <w:rPr>
          <w:rFonts w:cs="Times New Roman"/>
          <w:color w:val="000000" w:themeColor="text1"/>
          <w:u w:color="000000" w:themeColor="text1"/>
        </w:rPr>
        <w:noBreakHyphen/>
      </w:r>
      <w:r w:rsidRPr="00520EAD">
        <w:rPr>
          <w:rFonts w:cs="Times New Roman"/>
          <w:color w:val="000000" w:themeColor="text1"/>
          <w:u w:color="000000" w:themeColor="text1"/>
        </w:rPr>
        <w:t>5</w:t>
      </w:r>
      <w:r>
        <w:rPr>
          <w:rFonts w:cs="Times New Roman"/>
          <w:color w:val="000000" w:themeColor="text1"/>
          <w:u w:color="000000" w:themeColor="text1"/>
        </w:rPr>
        <w:noBreakHyphen/>
      </w:r>
      <w:r w:rsidRPr="00520EAD">
        <w:rPr>
          <w:rFonts w:cs="Times New Roman"/>
          <w:color w:val="000000" w:themeColor="text1"/>
          <w:u w:color="000000" w:themeColor="text1"/>
        </w:rPr>
        <w:t>2945, or 56</w:t>
      </w:r>
      <w:r>
        <w:rPr>
          <w:rFonts w:cs="Times New Roman"/>
          <w:color w:val="000000" w:themeColor="text1"/>
          <w:u w:color="000000" w:themeColor="text1"/>
        </w:rPr>
        <w:noBreakHyphen/>
      </w:r>
      <w:r w:rsidRPr="00520EAD">
        <w:rPr>
          <w:rFonts w:cs="Times New Roman"/>
          <w:color w:val="000000" w:themeColor="text1"/>
          <w:u w:color="000000" w:themeColor="text1"/>
        </w:rPr>
        <w:t>5</w:t>
      </w:r>
      <w:r>
        <w:rPr>
          <w:rFonts w:cs="Times New Roman"/>
          <w:color w:val="000000" w:themeColor="text1"/>
          <w:u w:color="000000" w:themeColor="text1"/>
        </w:rPr>
        <w:noBreakHyphen/>
      </w:r>
      <w:r w:rsidRPr="00520EAD">
        <w:rPr>
          <w:rFonts w:cs="Times New Roman"/>
          <w:color w:val="000000" w:themeColor="text1"/>
          <w:u w:color="000000" w:themeColor="text1"/>
        </w:rPr>
        <w:t>2951 must be notified by the department of the suspension and of the requirement to enroll in and successfully complete an Alcohol and Drug Safety Action Program certified by the Department of Alcohol and Other Drug Abuse Services.  A person who must complete an Alcohol and Drug Safety Action Program as a condition of reinstatement of his driving privileges or a court</w:t>
      </w:r>
      <w:r>
        <w:rPr>
          <w:rFonts w:cs="Times New Roman"/>
          <w:color w:val="000000" w:themeColor="text1"/>
          <w:u w:color="000000" w:themeColor="text1"/>
        </w:rPr>
        <w:noBreakHyphen/>
      </w:r>
      <w:r w:rsidRPr="00520EAD">
        <w:rPr>
          <w:rFonts w:cs="Times New Roman"/>
          <w:color w:val="000000" w:themeColor="text1"/>
          <w:u w:color="000000" w:themeColor="text1"/>
        </w:rPr>
        <w:t>ordered drug program may use the route restricted or special restricted driver</w:t>
      </w:r>
      <w:r w:rsidRPr="00A03462">
        <w:rPr>
          <w:rFonts w:cs="Times New Roman"/>
          <w:color w:val="000000" w:themeColor="text1"/>
          <w:u w:color="000000" w:themeColor="text1"/>
        </w:rPr>
        <w:t>’</w:t>
      </w:r>
      <w:r w:rsidRPr="00520EAD">
        <w:rPr>
          <w:rFonts w:cs="Times New Roman"/>
          <w:color w:val="000000" w:themeColor="text1"/>
          <w:u w:color="000000" w:themeColor="text1"/>
        </w:rPr>
        <w:t>s license to attend the Alcohol and Drug Safety Action Program classes or court</w:t>
      </w:r>
      <w:r>
        <w:rPr>
          <w:rFonts w:cs="Times New Roman"/>
          <w:color w:val="000000" w:themeColor="text1"/>
          <w:u w:color="000000" w:themeColor="text1"/>
        </w:rPr>
        <w:noBreakHyphen/>
      </w:r>
      <w:r w:rsidRPr="00520EAD">
        <w:rPr>
          <w:rFonts w:cs="Times New Roman"/>
          <w:color w:val="000000" w:themeColor="text1"/>
          <w:u w:color="000000" w:themeColor="text1"/>
        </w:rPr>
        <w:t>ordered drug program in addition to the other permitted uses of a route restricted driver</w:t>
      </w:r>
      <w:r w:rsidRPr="00A03462">
        <w:rPr>
          <w:rFonts w:cs="Times New Roman"/>
          <w:color w:val="000000" w:themeColor="text1"/>
          <w:u w:color="000000" w:themeColor="text1"/>
        </w:rPr>
        <w:t>’</w:t>
      </w:r>
      <w:r w:rsidRPr="00520EAD">
        <w:rPr>
          <w:rFonts w:cs="Times New Roman"/>
          <w:color w:val="000000" w:themeColor="text1"/>
          <w:u w:color="000000" w:themeColor="text1"/>
        </w:rPr>
        <w:t>s license or a special restricted driver</w:t>
      </w:r>
      <w:r w:rsidRPr="00A03462">
        <w:rPr>
          <w:rFonts w:cs="Times New Roman"/>
          <w:color w:val="000000" w:themeColor="text1"/>
          <w:u w:color="000000" w:themeColor="text1"/>
        </w:rPr>
        <w:t>’</w:t>
      </w:r>
      <w:r w:rsidRPr="00520EAD">
        <w:rPr>
          <w:rFonts w:cs="Times New Roman"/>
          <w:color w:val="000000" w:themeColor="text1"/>
          <w:u w:color="000000" w:themeColor="text1"/>
        </w:rPr>
        <w:t xml:space="preserve">s license.  An assessment of the extent and nature of the alcohol and drug abuse problem, if any, of the person must be prepared and a plan of education or treatment, or both, must be developed for the person.  Entry into the services, if the services are necessary, recommended in the plan of education or treatment, or both, developed for the person is a mandatory requirement of the issuance of an ignition interlock restricted license to the person whose license is suspended pursuant to this section.  </w:t>
      </w:r>
      <w:r w:rsidRPr="00520EAD">
        <w:rPr>
          <w:rFonts w:cs="Times New Roman"/>
          <w:color w:val="000000" w:themeColor="text1"/>
        </w:rPr>
        <w:t xml:space="preserve">Successful completion of the services, if the services are necessary, recommended in the plan of education or treatment, or both, developed for the person is a mandatory requirement of the full restoration of driving privileges to the person whose license is suspended pursuant to this section.  </w:t>
      </w:r>
      <w:r w:rsidRPr="00520EAD">
        <w:rPr>
          <w:rFonts w:cs="Times New Roman"/>
          <w:color w:val="000000" w:themeColor="text1"/>
          <w:u w:color="000000" w:themeColor="text1"/>
        </w:rPr>
        <w:t>The Alcohol and Drug Safety Action Program shall determine if the person has successfully completed the services.  Alcohol and Drug Safety Action Programs shall meet at least once a month.  The person whose license is suspended shall attend the first Alcohol and Drug Safety Action Program available after the date of enrollment.”</w:t>
      </w:r>
    </w:p>
    <w:p w:rsidR="003E4458"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E4458" w:rsidRPr="005674F8"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5674F8">
        <w:rPr>
          <w:rFonts w:eastAsia="Times New Roman" w:cs="Times New Roman"/>
          <w:b/>
        </w:rPr>
        <w:t xml:space="preserve">Ignition </w:t>
      </w:r>
      <w:r>
        <w:rPr>
          <w:rFonts w:eastAsia="Times New Roman" w:cs="Times New Roman"/>
          <w:b/>
        </w:rPr>
        <w:t>i</w:t>
      </w:r>
      <w:r w:rsidRPr="005674F8">
        <w:rPr>
          <w:rFonts w:eastAsia="Times New Roman" w:cs="Times New Roman"/>
          <w:b/>
        </w:rPr>
        <w:t xml:space="preserve">nterlock </w:t>
      </w:r>
      <w:r>
        <w:rPr>
          <w:rFonts w:eastAsia="Times New Roman" w:cs="Times New Roman"/>
          <w:b/>
        </w:rPr>
        <w:t>d</w:t>
      </w:r>
      <w:r w:rsidRPr="005674F8">
        <w:rPr>
          <w:rFonts w:eastAsia="Times New Roman" w:cs="Times New Roman"/>
          <w:b/>
        </w:rPr>
        <w:t>evice</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20EAD">
        <w:rPr>
          <w:rFonts w:eastAsia="Times New Roman" w:cs="Times New Roman"/>
          <w:szCs w:val="20"/>
        </w:rPr>
        <w:t>SECTION</w:t>
      </w:r>
      <w:r w:rsidRPr="00520EAD">
        <w:rPr>
          <w:rFonts w:eastAsia="Times New Roman" w:cs="Times New Roman"/>
          <w:szCs w:val="20"/>
        </w:rPr>
        <w:tab/>
        <w:t>3.</w:t>
      </w:r>
      <w:r w:rsidRPr="00520EAD">
        <w:rPr>
          <w:rFonts w:eastAsia="Times New Roman" w:cs="Times New Roman"/>
          <w:szCs w:val="20"/>
        </w:rPr>
        <w:tab/>
        <w:t>Section 56</w:t>
      </w:r>
      <w:r>
        <w:rPr>
          <w:rFonts w:eastAsia="Times New Roman" w:cs="Times New Roman"/>
          <w:szCs w:val="20"/>
        </w:rPr>
        <w:noBreakHyphen/>
      </w:r>
      <w:r w:rsidRPr="00520EAD">
        <w:rPr>
          <w:rFonts w:eastAsia="Times New Roman" w:cs="Times New Roman"/>
          <w:szCs w:val="20"/>
        </w:rPr>
        <w:t>5</w:t>
      </w:r>
      <w:r>
        <w:rPr>
          <w:rFonts w:eastAsia="Times New Roman" w:cs="Times New Roman"/>
          <w:szCs w:val="20"/>
        </w:rPr>
        <w:noBreakHyphen/>
      </w:r>
      <w:r w:rsidRPr="00520EAD">
        <w:rPr>
          <w:rFonts w:eastAsia="Times New Roman" w:cs="Times New Roman"/>
          <w:szCs w:val="20"/>
        </w:rPr>
        <w:t>2941 of the 1976 Code</w:t>
      </w:r>
      <w:r>
        <w:rPr>
          <w:rFonts w:eastAsia="Times New Roman" w:cs="Times New Roman"/>
          <w:szCs w:val="20"/>
        </w:rPr>
        <w:t>,</w:t>
      </w:r>
      <w:r w:rsidRPr="00520EAD">
        <w:rPr>
          <w:rFonts w:eastAsia="Times New Roman" w:cs="Times New Roman"/>
          <w:szCs w:val="20"/>
        </w:rPr>
        <w:t xml:space="preserve"> as last amended by Act 158 of 2014, is further amended to read:</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eastAsia="Times New Roman" w:cs="Times New Roman"/>
          <w:szCs w:val="20"/>
        </w:rPr>
        <w:tab/>
        <w:t>“Section 56</w:t>
      </w:r>
      <w:r>
        <w:rPr>
          <w:rFonts w:eastAsia="Times New Roman" w:cs="Times New Roman"/>
          <w:szCs w:val="20"/>
        </w:rPr>
        <w:noBreakHyphen/>
      </w:r>
      <w:r w:rsidRPr="00520EAD">
        <w:rPr>
          <w:rFonts w:eastAsia="Times New Roman" w:cs="Times New Roman"/>
          <w:szCs w:val="20"/>
        </w:rPr>
        <w:t>5</w:t>
      </w:r>
      <w:r>
        <w:rPr>
          <w:rFonts w:eastAsia="Times New Roman" w:cs="Times New Roman"/>
          <w:szCs w:val="20"/>
        </w:rPr>
        <w:noBreakHyphen/>
      </w:r>
      <w:r w:rsidRPr="00520EAD">
        <w:rPr>
          <w:rFonts w:eastAsia="Times New Roman" w:cs="Times New Roman"/>
          <w:szCs w:val="20"/>
        </w:rPr>
        <w:t>2941</w:t>
      </w:r>
      <w:r>
        <w:rPr>
          <w:rFonts w:eastAsia="Times New Roman" w:cs="Times New Roman"/>
          <w:szCs w:val="20"/>
        </w:rPr>
        <w:t>.</w:t>
      </w:r>
      <w:r>
        <w:rPr>
          <w:rFonts w:eastAsia="Times New Roman" w:cs="Times New Roman"/>
          <w:szCs w:val="20"/>
        </w:rPr>
        <w:tab/>
      </w:r>
      <w:r w:rsidRPr="00520EAD">
        <w:rPr>
          <w:rFonts w:cs="Times New Roman"/>
        </w:rPr>
        <w:t>(A)</w:t>
      </w:r>
      <w:r w:rsidRPr="00520EAD">
        <w:rPr>
          <w:rFonts w:cs="Times New Roman"/>
        </w:rPr>
        <w:tab/>
        <w:t xml:space="preserve">The Department of Motor Vehicles shall require a person who is a resident of this State and who is convicted of violating the provisions of </w:t>
      </w:r>
      <w:r>
        <w:rPr>
          <w:rFonts w:cs="Times New Roman"/>
        </w:rPr>
        <w:t xml:space="preserve">Section </w:t>
      </w:r>
      <w:r w:rsidRPr="00520EAD">
        <w:rPr>
          <w:rFonts w:cs="Times New Roman"/>
        </w:rPr>
        <w:t>56</w:t>
      </w:r>
      <w:r>
        <w:rPr>
          <w:rFonts w:cs="Times New Roman"/>
        </w:rPr>
        <w:noBreakHyphen/>
      </w:r>
      <w:r w:rsidRPr="00520EAD">
        <w:rPr>
          <w:rFonts w:cs="Times New Roman"/>
        </w:rPr>
        <w:t>5</w:t>
      </w:r>
      <w:r>
        <w:rPr>
          <w:rFonts w:cs="Times New Roman"/>
        </w:rPr>
        <w:noBreakHyphen/>
      </w:r>
      <w:r w:rsidRPr="00520EAD">
        <w:rPr>
          <w:rFonts w:cs="Times New Roman"/>
        </w:rPr>
        <w:t>2930, 56</w:t>
      </w:r>
      <w:r>
        <w:rPr>
          <w:rFonts w:cs="Times New Roman"/>
        </w:rPr>
        <w:noBreakHyphen/>
      </w:r>
      <w:r w:rsidRPr="00520EAD">
        <w:rPr>
          <w:rFonts w:cs="Times New Roman"/>
        </w:rPr>
        <w:t>5</w:t>
      </w:r>
      <w:r>
        <w:rPr>
          <w:rFonts w:cs="Times New Roman"/>
        </w:rPr>
        <w:noBreakHyphen/>
      </w:r>
      <w:r w:rsidRPr="00520EAD">
        <w:rPr>
          <w:rFonts w:cs="Times New Roman"/>
        </w:rPr>
        <w:t>2933, 56</w:t>
      </w:r>
      <w:r>
        <w:rPr>
          <w:rFonts w:cs="Times New Roman"/>
        </w:rPr>
        <w:noBreakHyphen/>
      </w:r>
      <w:r w:rsidRPr="00520EAD">
        <w:rPr>
          <w:rFonts w:cs="Times New Roman"/>
        </w:rPr>
        <w:t>5</w:t>
      </w:r>
      <w:r>
        <w:rPr>
          <w:rFonts w:cs="Times New Roman"/>
        </w:rPr>
        <w:noBreakHyphen/>
      </w:r>
      <w:r w:rsidRPr="00520EAD">
        <w:rPr>
          <w:rFonts w:cs="Times New Roman"/>
        </w:rPr>
        <w:t>2945, 56</w:t>
      </w:r>
      <w:r>
        <w:rPr>
          <w:rFonts w:cs="Times New Roman"/>
        </w:rPr>
        <w:noBreakHyphen/>
      </w:r>
      <w:r w:rsidRPr="00520EAD">
        <w:rPr>
          <w:rFonts w:cs="Times New Roman"/>
        </w:rPr>
        <w:t>5</w:t>
      </w:r>
      <w:r>
        <w:rPr>
          <w:rFonts w:cs="Times New Roman"/>
        </w:rPr>
        <w:noBreakHyphen/>
      </w:r>
      <w:r w:rsidRPr="00520EAD">
        <w:rPr>
          <w:rFonts w:cs="Times New Roman"/>
        </w:rPr>
        <w:t>2947 except if the conviction was for Section 56</w:t>
      </w:r>
      <w:r>
        <w:rPr>
          <w:rFonts w:cs="Times New Roman"/>
        </w:rPr>
        <w:noBreakHyphen/>
      </w:r>
      <w:r w:rsidRPr="00520EAD">
        <w:rPr>
          <w:rFonts w:cs="Times New Roman"/>
        </w:rPr>
        <w:t>5</w:t>
      </w:r>
      <w:r>
        <w:rPr>
          <w:rFonts w:cs="Times New Roman"/>
        </w:rPr>
        <w:noBreakHyphen/>
      </w:r>
      <w:r w:rsidRPr="00520EAD">
        <w:rPr>
          <w:rFonts w:cs="Times New Roman"/>
        </w:rPr>
        <w:t>750, or a law of another state that prohibits a person from driving a motor vehicle while under the influence of alcohol or other drugs, to have installed on any motor vehicle the person drives an ignition interlock device designed to prevent driving of the motor vehicle if the person has consumed alcoholic beverages. This section does not apply to a person convicted of a first offense violation of Section 56</w:t>
      </w:r>
      <w:r>
        <w:rPr>
          <w:rFonts w:cs="Times New Roman"/>
        </w:rPr>
        <w:noBreakHyphen/>
      </w:r>
      <w:r w:rsidRPr="00520EAD">
        <w:rPr>
          <w:rFonts w:cs="Times New Roman"/>
        </w:rPr>
        <w:t>5</w:t>
      </w:r>
      <w:r>
        <w:rPr>
          <w:rFonts w:cs="Times New Roman"/>
        </w:rPr>
        <w:noBreakHyphen/>
      </w:r>
      <w:r w:rsidRPr="00520EAD">
        <w:rPr>
          <w:rFonts w:cs="Times New Roman"/>
        </w:rPr>
        <w:t>2930 or 56</w:t>
      </w:r>
      <w:r>
        <w:rPr>
          <w:rFonts w:cs="Times New Roman"/>
        </w:rPr>
        <w:noBreakHyphen/>
      </w:r>
      <w:r w:rsidRPr="00520EAD">
        <w:rPr>
          <w:rFonts w:cs="Times New Roman"/>
        </w:rPr>
        <w:t>5</w:t>
      </w:r>
      <w:r>
        <w:rPr>
          <w:rFonts w:cs="Times New Roman"/>
        </w:rPr>
        <w:noBreakHyphen/>
      </w:r>
      <w:r w:rsidRPr="00520EAD">
        <w:rPr>
          <w:rFonts w:cs="Times New Roman"/>
        </w:rPr>
        <w:t>2933, unless the person submitted to a breath test pursuant to Section 56</w:t>
      </w:r>
      <w:r>
        <w:rPr>
          <w:rFonts w:cs="Times New Roman"/>
        </w:rPr>
        <w:noBreakHyphen/>
      </w:r>
      <w:r w:rsidRPr="00520EAD">
        <w:rPr>
          <w:rFonts w:cs="Times New Roman"/>
        </w:rPr>
        <w:t>5</w:t>
      </w:r>
      <w:r>
        <w:rPr>
          <w:rFonts w:cs="Times New Roman"/>
        </w:rPr>
        <w:noBreakHyphen/>
      </w:r>
      <w:r w:rsidRPr="00520EAD">
        <w:rPr>
          <w:rFonts w:cs="Times New Roman"/>
        </w:rPr>
        <w:t>2950 and had an alcohol concentration of fifteen one</w:t>
      </w:r>
      <w:r>
        <w:rPr>
          <w:rFonts w:cs="Times New Roman"/>
        </w:rPr>
        <w:noBreakHyphen/>
      </w:r>
      <w:r w:rsidRPr="00520EAD">
        <w:rPr>
          <w:rFonts w:cs="Times New Roman"/>
        </w:rPr>
        <w:t>hundredths of one percent or more. The department may waive the requirements of this section if the department determines that the person has a medical condition that makes the person incapable of properly operating the installed device. If the department grants a medical waiver, the department shall suspend the person</w:t>
      </w:r>
      <w:r w:rsidRPr="00A03462">
        <w:rPr>
          <w:rFonts w:cs="Times New Roman"/>
        </w:rPr>
        <w:t>’</w:t>
      </w:r>
      <w:r w:rsidRPr="00520EAD">
        <w:rPr>
          <w:rFonts w:cs="Times New Roman"/>
        </w:rPr>
        <w:t>s driver</w:t>
      </w:r>
      <w:r w:rsidRPr="00A03462">
        <w:rPr>
          <w:rFonts w:cs="Times New Roman"/>
        </w:rPr>
        <w:t>’</w:t>
      </w:r>
      <w:r w:rsidRPr="00520EAD">
        <w:rPr>
          <w:rFonts w:cs="Times New Roman"/>
        </w:rPr>
        <w:t>s license for the length of time that the person would have been required to hold an ignition interlock restricted license. The department may withdraw the waiver at any time that the department becomes aware that the person</w:t>
      </w:r>
      <w:r w:rsidRPr="00A03462">
        <w:rPr>
          <w:rFonts w:cs="Times New Roman"/>
        </w:rPr>
        <w:t>’</w:t>
      </w:r>
      <w:r w:rsidRPr="00520EAD">
        <w:rPr>
          <w:rFonts w:cs="Times New Roman"/>
        </w:rPr>
        <w:t>s medical condition has improved to the extent that the person has become capable of properly operating an installed device. The department also shall require a person who has enrolled in the Ignition Interlock Device Program in lieu of the remainder of a driver</w:t>
      </w:r>
      <w:r w:rsidRPr="00A03462">
        <w:rPr>
          <w:rFonts w:cs="Times New Roman"/>
        </w:rPr>
        <w:t>’</w:t>
      </w:r>
      <w:r w:rsidRPr="00520EAD">
        <w:rPr>
          <w:rFonts w:cs="Times New Roman"/>
        </w:rPr>
        <w:t>s license suspension or denial of the issuance of a driver</w:t>
      </w:r>
      <w:r w:rsidRPr="00A03462">
        <w:rPr>
          <w:rFonts w:cs="Times New Roman"/>
        </w:rPr>
        <w:t>’</w:t>
      </w:r>
      <w:r w:rsidRPr="00520EAD">
        <w:rPr>
          <w:rFonts w:cs="Times New Roman"/>
        </w:rPr>
        <w:t>s license or permit to have an ignition interlock device installed on any motor vehicle the person drives.</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t>The length of time that a device is required to be affixed to a motor vehicle as set forth in Sections 56</w:t>
      </w:r>
      <w:r>
        <w:rPr>
          <w:rFonts w:cs="Times New Roman"/>
        </w:rPr>
        <w:noBreakHyphen/>
      </w:r>
      <w:r w:rsidRPr="00520EAD">
        <w:rPr>
          <w:rFonts w:cs="Times New Roman"/>
        </w:rPr>
        <w:t>1</w:t>
      </w:r>
      <w:r>
        <w:rPr>
          <w:rFonts w:cs="Times New Roman"/>
        </w:rPr>
        <w:noBreakHyphen/>
      </w:r>
      <w:r w:rsidRPr="00520EAD">
        <w:rPr>
          <w:rFonts w:cs="Times New Roman"/>
        </w:rPr>
        <w:t>286, 56</w:t>
      </w:r>
      <w:r>
        <w:rPr>
          <w:rFonts w:cs="Times New Roman"/>
        </w:rPr>
        <w:noBreakHyphen/>
      </w:r>
      <w:r w:rsidRPr="00520EAD">
        <w:rPr>
          <w:rFonts w:cs="Times New Roman"/>
        </w:rPr>
        <w:t>5</w:t>
      </w:r>
      <w:r>
        <w:rPr>
          <w:rFonts w:cs="Times New Roman"/>
        </w:rPr>
        <w:noBreakHyphen/>
      </w:r>
      <w:r w:rsidRPr="00520EAD">
        <w:rPr>
          <w:rFonts w:cs="Times New Roman"/>
        </w:rPr>
        <w:t>2945, 56</w:t>
      </w:r>
      <w:r>
        <w:rPr>
          <w:rFonts w:cs="Times New Roman"/>
        </w:rPr>
        <w:noBreakHyphen/>
      </w:r>
      <w:r w:rsidRPr="00520EAD">
        <w:rPr>
          <w:rFonts w:cs="Times New Roman"/>
        </w:rPr>
        <w:t>5</w:t>
      </w:r>
      <w:r>
        <w:rPr>
          <w:rFonts w:cs="Times New Roman"/>
        </w:rPr>
        <w:noBreakHyphen/>
      </w:r>
      <w:r w:rsidRPr="00520EAD">
        <w:rPr>
          <w:rFonts w:cs="Times New Roman"/>
        </w:rPr>
        <w:t>2947 except if the conviction was for Section</w:t>
      </w:r>
      <w:r>
        <w:rPr>
          <w:rFonts w:cs="Times New Roman"/>
        </w:rPr>
        <w:t>s</w:t>
      </w:r>
      <w:r w:rsidRPr="00520EAD">
        <w:rPr>
          <w:rFonts w:cs="Times New Roman"/>
        </w:rPr>
        <w:t xml:space="preserve"> 56</w:t>
      </w:r>
      <w:r>
        <w:rPr>
          <w:rFonts w:cs="Times New Roman"/>
        </w:rPr>
        <w:noBreakHyphen/>
      </w:r>
      <w:r w:rsidRPr="00520EAD">
        <w:rPr>
          <w:rFonts w:cs="Times New Roman"/>
        </w:rPr>
        <w:t>5</w:t>
      </w:r>
      <w:r>
        <w:rPr>
          <w:rFonts w:cs="Times New Roman"/>
        </w:rPr>
        <w:noBreakHyphen/>
      </w:r>
      <w:r w:rsidRPr="00520EAD">
        <w:rPr>
          <w:rFonts w:cs="Times New Roman"/>
        </w:rPr>
        <w:t>750, 56</w:t>
      </w:r>
      <w:r>
        <w:rPr>
          <w:rFonts w:cs="Times New Roman"/>
        </w:rPr>
        <w:noBreakHyphen/>
      </w:r>
      <w:r w:rsidRPr="00520EAD">
        <w:rPr>
          <w:rFonts w:cs="Times New Roman"/>
        </w:rPr>
        <w:t>5</w:t>
      </w:r>
      <w:r>
        <w:rPr>
          <w:rFonts w:cs="Times New Roman"/>
        </w:rPr>
        <w:noBreakHyphen/>
      </w:r>
      <w:r w:rsidRPr="00520EAD">
        <w:rPr>
          <w:rFonts w:cs="Times New Roman"/>
        </w:rPr>
        <w:t>2951, and 56</w:t>
      </w:r>
      <w:r>
        <w:rPr>
          <w:rFonts w:cs="Times New Roman"/>
        </w:rPr>
        <w:noBreakHyphen/>
      </w:r>
      <w:r w:rsidRPr="00520EAD">
        <w:rPr>
          <w:rFonts w:cs="Times New Roman"/>
        </w:rPr>
        <w:t>5</w:t>
      </w:r>
      <w:r>
        <w:rPr>
          <w:rFonts w:cs="Times New Roman"/>
        </w:rPr>
        <w:noBreakHyphen/>
      </w:r>
      <w:r w:rsidRPr="00520EAD">
        <w:rPr>
          <w:rFonts w:cs="Times New Roman"/>
        </w:rPr>
        <w:t>2990.</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t>(B)</w:t>
      </w:r>
      <w:r w:rsidRPr="00520EAD">
        <w:rPr>
          <w:rFonts w:cs="Times New Roman"/>
        </w:rPr>
        <w:tab/>
        <w:t>Notwithstanding the pleadings, for purposes of a second or a subsequent offense, the specified length of time that a device is required to be affixed to a motor vehicle is based on the Department of Motor Vehicle</w:t>
      </w:r>
      <w:r w:rsidRPr="00A03462">
        <w:rPr>
          <w:rFonts w:cs="Times New Roman"/>
        </w:rPr>
        <w:t>’</w:t>
      </w:r>
      <w:r w:rsidRPr="00520EAD">
        <w:rPr>
          <w:rFonts w:cs="Times New Roman"/>
        </w:rPr>
        <w:t>s records for offenses pursuant to Section 56</w:t>
      </w:r>
      <w:r>
        <w:rPr>
          <w:rFonts w:cs="Times New Roman"/>
        </w:rPr>
        <w:noBreakHyphen/>
      </w:r>
      <w:r w:rsidRPr="00520EAD">
        <w:rPr>
          <w:rFonts w:cs="Times New Roman"/>
        </w:rPr>
        <w:t>1</w:t>
      </w:r>
      <w:r>
        <w:rPr>
          <w:rFonts w:cs="Times New Roman"/>
        </w:rPr>
        <w:noBreakHyphen/>
      </w:r>
      <w:r w:rsidRPr="00520EAD">
        <w:rPr>
          <w:rFonts w:cs="Times New Roman"/>
        </w:rPr>
        <w:t>286, 56</w:t>
      </w:r>
      <w:r>
        <w:rPr>
          <w:rFonts w:cs="Times New Roman"/>
        </w:rPr>
        <w:noBreakHyphen/>
      </w:r>
      <w:r w:rsidRPr="00520EAD">
        <w:rPr>
          <w:rFonts w:cs="Times New Roman"/>
        </w:rPr>
        <w:t>5</w:t>
      </w:r>
      <w:r>
        <w:rPr>
          <w:rFonts w:cs="Times New Roman"/>
        </w:rPr>
        <w:noBreakHyphen/>
      </w:r>
      <w:r w:rsidRPr="00520EAD">
        <w:rPr>
          <w:rFonts w:cs="Times New Roman"/>
        </w:rPr>
        <w:t>2930, 56</w:t>
      </w:r>
      <w:r>
        <w:rPr>
          <w:rFonts w:cs="Times New Roman"/>
        </w:rPr>
        <w:noBreakHyphen/>
      </w:r>
      <w:r w:rsidRPr="00520EAD">
        <w:rPr>
          <w:rFonts w:cs="Times New Roman"/>
        </w:rPr>
        <w:t>5</w:t>
      </w:r>
      <w:r>
        <w:rPr>
          <w:rFonts w:cs="Times New Roman"/>
        </w:rPr>
        <w:noBreakHyphen/>
      </w:r>
      <w:r w:rsidRPr="00520EAD">
        <w:rPr>
          <w:rFonts w:cs="Times New Roman"/>
        </w:rPr>
        <w:t>2933, 56</w:t>
      </w:r>
      <w:r>
        <w:rPr>
          <w:rFonts w:cs="Times New Roman"/>
        </w:rPr>
        <w:noBreakHyphen/>
      </w:r>
      <w:r w:rsidRPr="00520EAD">
        <w:rPr>
          <w:rFonts w:cs="Times New Roman"/>
        </w:rPr>
        <w:t>5</w:t>
      </w:r>
      <w:r>
        <w:rPr>
          <w:rFonts w:cs="Times New Roman"/>
        </w:rPr>
        <w:noBreakHyphen/>
      </w:r>
      <w:r w:rsidRPr="00520EAD">
        <w:rPr>
          <w:rFonts w:cs="Times New Roman"/>
        </w:rPr>
        <w:t>2945, 56</w:t>
      </w:r>
      <w:r>
        <w:rPr>
          <w:rFonts w:cs="Times New Roman"/>
        </w:rPr>
        <w:noBreakHyphen/>
      </w:r>
      <w:r w:rsidRPr="00520EAD">
        <w:rPr>
          <w:rFonts w:cs="Times New Roman"/>
        </w:rPr>
        <w:t>5</w:t>
      </w:r>
      <w:r>
        <w:rPr>
          <w:rFonts w:cs="Times New Roman"/>
        </w:rPr>
        <w:noBreakHyphen/>
      </w:r>
      <w:r w:rsidRPr="00520EAD">
        <w:rPr>
          <w:rFonts w:cs="Times New Roman"/>
        </w:rPr>
        <w:t>2947 except if the conviction was for Section 56</w:t>
      </w:r>
      <w:r>
        <w:rPr>
          <w:rFonts w:cs="Times New Roman"/>
        </w:rPr>
        <w:noBreakHyphen/>
      </w:r>
      <w:r w:rsidRPr="00520EAD">
        <w:rPr>
          <w:rFonts w:cs="Times New Roman"/>
        </w:rPr>
        <w:t>5</w:t>
      </w:r>
      <w:r>
        <w:rPr>
          <w:rFonts w:cs="Times New Roman"/>
        </w:rPr>
        <w:noBreakHyphen/>
      </w:r>
      <w:r w:rsidRPr="00520EAD">
        <w:rPr>
          <w:rFonts w:cs="Times New Roman"/>
        </w:rPr>
        <w:t>750, 56</w:t>
      </w:r>
      <w:r>
        <w:rPr>
          <w:rFonts w:cs="Times New Roman"/>
        </w:rPr>
        <w:noBreakHyphen/>
      </w:r>
      <w:r w:rsidRPr="00520EAD">
        <w:rPr>
          <w:rFonts w:cs="Times New Roman"/>
        </w:rPr>
        <w:t>5</w:t>
      </w:r>
      <w:r>
        <w:rPr>
          <w:rFonts w:cs="Times New Roman"/>
        </w:rPr>
        <w:noBreakHyphen/>
      </w:r>
      <w:r w:rsidRPr="00520EAD">
        <w:rPr>
          <w:rFonts w:cs="Times New Roman"/>
        </w:rPr>
        <w:t>2950, or 56</w:t>
      </w:r>
      <w:r>
        <w:rPr>
          <w:rFonts w:cs="Times New Roman"/>
        </w:rPr>
        <w:noBreakHyphen/>
      </w:r>
      <w:r w:rsidRPr="00520EAD">
        <w:rPr>
          <w:rFonts w:cs="Times New Roman"/>
        </w:rPr>
        <w:t>5</w:t>
      </w:r>
      <w:r>
        <w:rPr>
          <w:rFonts w:cs="Times New Roman"/>
        </w:rPr>
        <w:noBreakHyphen/>
      </w:r>
      <w:r w:rsidRPr="00520EAD">
        <w:rPr>
          <w:rFonts w:cs="Times New Roman"/>
        </w:rPr>
        <w:t>2951.</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t>(C)</w:t>
      </w:r>
      <w:r w:rsidRPr="00520EAD">
        <w:rPr>
          <w:rFonts w:cs="Times New Roman"/>
        </w:rPr>
        <w:tab/>
        <w:t>If a resident of this State is convicted of violating a law of another state that prohibits a person from driving a motor vehicle while under the influence of alcohol or other drugs, and, as a result of the conviction, the person is subject to an ignition interlock device requirement in the other state, the person is subject to the requirements of this section for the length of time that would have been required for an offense committed in South Carolina, or for the length of time that is required by the other state, whichever is longer.</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t>(D)</w:t>
      </w:r>
      <w:r w:rsidRPr="00520EAD">
        <w:rPr>
          <w:rFonts w:cs="Times New Roman"/>
        </w:rPr>
        <w:tab/>
        <w:t>If a person from another state becomes a resident of South Carolina while subject to an ignition interlock device requirement in another state, the person only may obtain a South Carolina driver</w:t>
      </w:r>
      <w:r w:rsidRPr="00A03462">
        <w:rPr>
          <w:rFonts w:cs="Times New Roman"/>
        </w:rPr>
        <w:t>’</w:t>
      </w:r>
      <w:r w:rsidRPr="00520EAD">
        <w:rPr>
          <w:rFonts w:cs="Times New Roman"/>
        </w:rPr>
        <w:t>s license if the person enrolls in the South Carolina Ignition Interlock Device Program pursuant to this section. The person is subject to the requirements of this section for the length of time that would have been required for an offense committed in South Carolina, or for the length of time that is required by the other state, whichever is longer.</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t>(E)</w:t>
      </w:r>
      <w:r w:rsidRPr="00520EAD">
        <w:rPr>
          <w:rFonts w:cs="Times New Roman"/>
        </w:rPr>
        <w:tab/>
        <w:t>The person must be subject to an Ignition Interlock Device Point System managed by the Department of Probation, Parole and Pardon Services. A person accumulating a total of:</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t>(1)</w:t>
      </w:r>
      <w:r w:rsidRPr="00520EAD">
        <w:rPr>
          <w:rFonts w:cs="Times New Roman"/>
        </w:rPr>
        <w:tab/>
        <w:t>two points or more, but less than three points, must have the length of time that the device is required extended by two months;</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t>(2)</w:t>
      </w:r>
      <w:r w:rsidRPr="00520EAD">
        <w:rPr>
          <w:rFonts w:cs="Times New Roman"/>
        </w:rPr>
        <w:tab/>
        <w:t>three points or more, but less than four points, must have the length of time that the device is required extended by four months, shall submit to a substance abuse assessment pursuant to Section 56</w:t>
      </w:r>
      <w:r>
        <w:rPr>
          <w:rFonts w:cs="Times New Roman"/>
        </w:rPr>
        <w:noBreakHyphen/>
      </w:r>
      <w:r w:rsidRPr="00520EAD">
        <w:rPr>
          <w:rFonts w:cs="Times New Roman"/>
        </w:rPr>
        <w:t>5</w:t>
      </w:r>
      <w:r>
        <w:rPr>
          <w:rFonts w:cs="Times New Roman"/>
        </w:rPr>
        <w:noBreakHyphen/>
      </w:r>
      <w:r w:rsidRPr="00520EAD">
        <w:rPr>
          <w:rFonts w:cs="Times New Roman"/>
        </w:rPr>
        <w:t>2990, and shall successfully complete the plan of education and treatment, or both, as recommended by the certified substance abuse program. Should the person not complete the recommended plan, or not make progress toward completing the plan, the Department of Motor Vehicles shall suspend the person</w:t>
      </w:r>
      <w:r w:rsidRPr="00A03462">
        <w:rPr>
          <w:rFonts w:cs="Times New Roman"/>
        </w:rPr>
        <w:t>’</w:t>
      </w:r>
      <w:r w:rsidRPr="00520EAD">
        <w:rPr>
          <w:rFonts w:cs="Times New Roman"/>
        </w:rPr>
        <w:t>s ignition interlock restricted license until the plan is completed or progress is being made toward completing the plan;</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t>(3)</w:t>
      </w:r>
      <w:r w:rsidRPr="00520EAD">
        <w:rPr>
          <w:rFonts w:cs="Times New Roman"/>
        </w:rPr>
        <w:tab/>
        <w:t>four points or more must have the person</w:t>
      </w:r>
      <w:r w:rsidRPr="00A03462">
        <w:rPr>
          <w:rFonts w:cs="Times New Roman"/>
        </w:rPr>
        <w:t>’</w:t>
      </w:r>
      <w:r w:rsidRPr="00520EAD">
        <w:rPr>
          <w:rFonts w:cs="Times New Roman"/>
        </w:rPr>
        <w:t>s ignition interlock restricted license suspended for a period of six months, shall submit to a substance abuse assessment pursuant to Section 56</w:t>
      </w:r>
      <w:r>
        <w:rPr>
          <w:rFonts w:cs="Times New Roman"/>
        </w:rPr>
        <w:noBreakHyphen/>
      </w:r>
      <w:r w:rsidRPr="00520EAD">
        <w:rPr>
          <w:rFonts w:cs="Times New Roman"/>
        </w:rPr>
        <w:t>5</w:t>
      </w:r>
      <w:r>
        <w:rPr>
          <w:rFonts w:cs="Times New Roman"/>
        </w:rPr>
        <w:noBreakHyphen/>
      </w:r>
      <w:r w:rsidRPr="00520EAD">
        <w:rPr>
          <w:rFonts w:cs="Times New Roman"/>
        </w:rPr>
        <w:t>2990, and successfully shall complete the plan of education and treatment, or both, as recommended by the certified substance abuse program. Should the person not complete the recommended plan or not make progress toward completing the plan, the Department of Motor Vehicles shall leave the person</w:t>
      </w:r>
      <w:r w:rsidRPr="00A03462">
        <w:rPr>
          <w:rFonts w:cs="Times New Roman"/>
        </w:rPr>
        <w:t>’</w:t>
      </w:r>
      <w:r w:rsidRPr="00520EAD">
        <w:rPr>
          <w:rFonts w:cs="Times New Roman"/>
        </w:rPr>
        <w:t>s ignition interlock restricted license in suspended status, or, if the license has already been reinstated following the six</w:t>
      </w:r>
      <w:r>
        <w:rPr>
          <w:rFonts w:cs="Times New Roman"/>
        </w:rPr>
        <w:noBreakHyphen/>
      </w:r>
      <w:r w:rsidRPr="00520EAD">
        <w:rPr>
          <w:rFonts w:cs="Times New Roman"/>
        </w:rPr>
        <w:t>month suspension, shall resuspend the person</w:t>
      </w:r>
      <w:r w:rsidRPr="00A03462">
        <w:rPr>
          <w:rFonts w:cs="Times New Roman"/>
        </w:rPr>
        <w:t>’</w:t>
      </w:r>
      <w:r w:rsidRPr="00520EAD">
        <w:rPr>
          <w:rFonts w:cs="Times New Roman"/>
        </w:rPr>
        <w:t>s ignition interlock restricted license until the plan is completed or progress is being made toward completing the plan. The Department of Alcohol and Other Drug Abuse Services is responsible for notifying the Department of Motor Vehicles of a person</w:t>
      </w:r>
      <w:r w:rsidRPr="00A03462">
        <w:rPr>
          <w:rFonts w:cs="Times New Roman"/>
        </w:rPr>
        <w:t>’</w:t>
      </w:r>
      <w:r w:rsidRPr="00520EAD">
        <w:rPr>
          <w:rFonts w:cs="Times New Roman"/>
        </w:rPr>
        <w:t>s completion and compliance with education and treatment programs. Upon reinstatement of driving privileges following the six</w:t>
      </w:r>
      <w:r>
        <w:rPr>
          <w:rFonts w:cs="Times New Roman"/>
        </w:rPr>
        <w:noBreakHyphen/>
      </w:r>
      <w:r w:rsidRPr="00520EAD">
        <w:rPr>
          <w:rFonts w:cs="Times New Roman"/>
        </w:rPr>
        <w:t>month suspension, the Department of Probation, Parole and Pardon Services shall reset the person</w:t>
      </w:r>
      <w:r w:rsidRPr="00A03462">
        <w:rPr>
          <w:rFonts w:cs="Times New Roman"/>
        </w:rPr>
        <w:t>’</w:t>
      </w:r>
      <w:r w:rsidRPr="00520EAD">
        <w:rPr>
          <w:rFonts w:cs="Times New Roman"/>
        </w:rPr>
        <w:t>s point total to zero points, and the person shall complete the remaining period of time on the ignition interlock device.</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t>(F)</w:t>
      </w:r>
      <w:r w:rsidRPr="00520EAD">
        <w:rPr>
          <w:rFonts w:cs="Times New Roman"/>
        </w:rPr>
        <w:tab/>
        <w:t>The cost of the device must be borne by the person. However, if the person is indigent and cannot afford the cost of the device, the person may submit an affidavit of indigency to the Department of Probation, Parole and Pardon Services for a determination of indigency as it pertains to the cost of the device. The affidavit of indigency form must be made publicly accessible on the Department of Probation, Parole and Pardon Services</w:t>
      </w:r>
      <w:r w:rsidRPr="00A03462">
        <w:rPr>
          <w:rFonts w:cs="Times New Roman"/>
        </w:rPr>
        <w:t>’</w:t>
      </w:r>
      <w:r w:rsidRPr="00520EAD">
        <w:rPr>
          <w:rFonts w:cs="Times New Roman"/>
        </w:rPr>
        <w:t xml:space="preserve"> Internet website. If the Department of Probation, Parole and Pardon Services determines that the person is indigent as it pertains to the device, the Department of Probation, Parole and Pardon Services may authorize a device to be affixed to the motor vehicle and the cost of the initial installation and standard use of the device to be paid for by the Ignition Interlock Device Fund managed by the Department of Probation, Parole and Pardon Services. Funds remitted to the Department of Probation, Parole and Pardon Services for the Ignition Interlock Device Fund also may be used by the Department of Probation, Parole and Pardon Services to support the Ignition Interlock Device Program. For purposes of this section, a person is indigent if the person is financially unable to afford the cost of the ignition interlock device. In making a determination whether a person is indigent, all factors concerning the person</w:t>
      </w:r>
      <w:r w:rsidRPr="00A03462">
        <w:rPr>
          <w:rFonts w:cs="Times New Roman"/>
        </w:rPr>
        <w:t>’</w:t>
      </w:r>
      <w:r w:rsidRPr="00520EAD">
        <w:rPr>
          <w:rFonts w:cs="Times New Roman"/>
        </w:rPr>
        <w:t>s financial conditions should be considered including, but not limited to, income, debts, assets, number of dependents claimed for tax purposes, living expenses, and family situation. A presumption that the person is indigent is created if the person</w:t>
      </w:r>
      <w:r w:rsidRPr="00A03462">
        <w:rPr>
          <w:rFonts w:cs="Times New Roman"/>
        </w:rPr>
        <w:t>’</w:t>
      </w:r>
      <w:r w:rsidRPr="00520EAD">
        <w:rPr>
          <w:rFonts w:cs="Times New Roman"/>
        </w:rPr>
        <w:t xml:space="preserve">s net family income is less than or equal to the poverty guidelines established and revised annually by the United States Department of Health and Human Services published in the Federal Register. </w:t>
      </w:r>
      <w:r>
        <w:rPr>
          <w:rFonts w:cs="Times New Roman"/>
        </w:rPr>
        <w:t>‘</w:t>
      </w:r>
      <w:r w:rsidRPr="00520EAD">
        <w:rPr>
          <w:rFonts w:cs="Times New Roman"/>
        </w:rPr>
        <w:t>Net income</w:t>
      </w:r>
      <w:r>
        <w:rPr>
          <w:rFonts w:cs="Times New Roman"/>
        </w:rPr>
        <w:t>’</w:t>
      </w:r>
      <w:r w:rsidRPr="00520EAD">
        <w:rPr>
          <w:rFonts w:cs="Times New Roman"/>
        </w:rPr>
        <w:t xml:space="preserve"> means gross income minus deductions required by law. The determination of indigency is subject to periodic review at the discretion of the Department of Probation, Parole and Pardon Services.</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t>(G)</w:t>
      </w:r>
      <w:r w:rsidRPr="00520EAD">
        <w:rPr>
          <w:rFonts w:cs="Times New Roman"/>
        </w:rPr>
        <w:tab/>
        <w:t>The ignition interlock service provider shall collect and remit monthly to the Ignition Interlock Device Fund a fee as determined by the Department of Probation, Parole and Pardon Services not to exceed thirty dollars per month for each month the person is required to drive a vehicle with a device. A service provider who fails to properly remit funds to the Ignition Interlock Device Fund may be decertified as a service provider by the Department of Probation, Parole and Pardon Services. If a service provider is decertified for failing to remit funds to the Ignition Interlock Device Fund, the cost for removal and replacement of a device must be borne by the service provider.</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t>(H)(1)</w:t>
      </w:r>
      <w:r w:rsidRPr="00520EAD">
        <w:rPr>
          <w:rFonts w:cs="Times New Roman"/>
        </w:rPr>
        <w:tab/>
        <w:t>The person shall have the device inspected every sixty days to verify that the device is affixed to the motor vehicle and properly operating, and to allow for the preparation of an ignition interlock device inspection report by the service provider indicating the person</w:t>
      </w:r>
      <w:r w:rsidRPr="00A03462">
        <w:rPr>
          <w:rFonts w:cs="Times New Roman"/>
        </w:rPr>
        <w:t>’</w:t>
      </w:r>
      <w:r w:rsidRPr="00520EAD">
        <w:rPr>
          <w:rFonts w:cs="Times New Roman"/>
        </w:rPr>
        <w:t>s alcohol content at each attempt to start and running retest during each sixty</w:t>
      </w:r>
      <w:r>
        <w:rPr>
          <w:rFonts w:cs="Times New Roman"/>
        </w:rPr>
        <w:noBreakHyphen/>
      </w:r>
      <w:r w:rsidRPr="00520EAD">
        <w:rPr>
          <w:rFonts w:cs="Times New Roman"/>
        </w:rPr>
        <w:t>day period. Failure of the person to have the interlock device inspected every sixty days must result in one ignition interlock device point.</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t>(2)</w:t>
      </w:r>
      <w:r w:rsidRPr="00520EAD">
        <w:rPr>
          <w:rFonts w:cs="Times New Roman"/>
        </w:rPr>
        <w:tab/>
        <w:t>Only a service provider authorized by the Department of Probation, Parole and Pardon Services to perform inspections on ignition interlock devices may conduct inspections. The service provider immediately shall report devices that fail inspection to the Department of Probation, Parole and Pardon Services. The report must contain the person</w:t>
      </w:r>
      <w:r w:rsidRPr="00A03462">
        <w:rPr>
          <w:rFonts w:cs="Times New Roman"/>
        </w:rPr>
        <w:t>’</w:t>
      </w:r>
      <w:r w:rsidRPr="00520EAD">
        <w:rPr>
          <w:rFonts w:cs="Times New Roman"/>
        </w:rPr>
        <w:t>s name, identify the vehicle upon which the failed device is installed, and the reason for the failed inspection.</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t>(3)</w:t>
      </w:r>
      <w:r w:rsidRPr="00520EAD">
        <w:rPr>
          <w:rFonts w:cs="Times New Roman"/>
        </w:rPr>
        <w:tab/>
        <w:t>If the inspection report reflects that the person has failed to complete a running retest, the person must be assessed one ignition interlock device point.</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t>(4)</w:t>
      </w:r>
      <w:r w:rsidRPr="00520EAD">
        <w:rPr>
          <w:rFonts w:cs="Times New Roman"/>
        </w:rPr>
        <w:tab/>
        <w:t>If any inspection report or any photographic images collected by the device shows that the person has viola</w:t>
      </w:r>
      <w:r>
        <w:rPr>
          <w:rFonts w:cs="Times New Roman"/>
        </w:rPr>
        <w:t>ted subsection (M), (O), or (P)</w:t>
      </w:r>
      <w:r w:rsidRPr="00520EAD">
        <w:rPr>
          <w:rFonts w:cs="Times New Roman"/>
        </w:rPr>
        <w:t>, the person must be assessed one and one</w:t>
      </w:r>
      <w:r>
        <w:rPr>
          <w:rFonts w:cs="Times New Roman"/>
        </w:rPr>
        <w:noBreakHyphen/>
      </w:r>
      <w:r w:rsidRPr="00520EAD">
        <w:rPr>
          <w:rFonts w:cs="Times New Roman"/>
        </w:rPr>
        <w:t>half ignition interlock device points.</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t>(5)</w:t>
      </w:r>
      <w:r w:rsidRPr="00520EAD">
        <w:rPr>
          <w:rFonts w:cs="Times New Roman"/>
        </w:rPr>
        <w:tab/>
        <w:t>The inspection report must indicate the person</w:t>
      </w:r>
      <w:r w:rsidRPr="00A03462">
        <w:rPr>
          <w:rFonts w:cs="Times New Roman"/>
        </w:rPr>
        <w:t>’</w:t>
      </w:r>
      <w:r w:rsidRPr="00520EAD">
        <w:rPr>
          <w:rFonts w:cs="Times New Roman"/>
        </w:rPr>
        <w:t>s alcohol content at each attempt to start and running retest during each sixty</w:t>
      </w:r>
      <w:r>
        <w:rPr>
          <w:rFonts w:cs="Times New Roman"/>
        </w:rPr>
        <w:noBreakHyphen/>
      </w:r>
      <w:r w:rsidRPr="00520EAD">
        <w:rPr>
          <w:rFonts w:cs="Times New Roman"/>
        </w:rPr>
        <w:t>day period. If the report reflects that the person violated a running retest by having an alcohol concentration of:</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r>
      <w:r w:rsidRPr="00520EAD">
        <w:rPr>
          <w:rFonts w:cs="Times New Roman"/>
        </w:rPr>
        <w:tab/>
        <w:t>(a)</w:t>
      </w:r>
      <w:r w:rsidRPr="00520EAD">
        <w:rPr>
          <w:rFonts w:cs="Times New Roman"/>
        </w:rPr>
        <w:tab/>
        <w:t>two one</w:t>
      </w:r>
      <w:r>
        <w:rPr>
          <w:rFonts w:cs="Times New Roman"/>
        </w:rPr>
        <w:noBreakHyphen/>
      </w:r>
      <w:r w:rsidRPr="00520EAD">
        <w:rPr>
          <w:rFonts w:cs="Times New Roman"/>
        </w:rPr>
        <w:t>hundredths of one percent or more but less than four one</w:t>
      </w:r>
      <w:r>
        <w:rPr>
          <w:rFonts w:cs="Times New Roman"/>
        </w:rPr>
        <w:noBreakHyphen/>
      </w:r>
      <w:r w:rsidRPr="00520EAD">
        <w:rPr>
          <w:rFonts w:cs="Times New Roman"/>
        </w:rPr>
        <w:t>hundredths of one percent, the person must be assessed one</w:t>
      </w:r>
      <w:r>
        <w:rPr>
          <w:rFonts w:cs="Times New Roman"/>
        </w:rPr>
        <w:noBreakHyphen/>
      </w:r>
      <w:r w:rsidRPr="00520EAD">
        <w:rPr>
          <w:rFonts w:cs="Times New Roman"/>
        </w:rPr>
        <w:t>half ignition interlock device point;</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r>
      <w:r w:rsidRPr="00520EAD">
        <w:rPr>
          <w:rFonts w:cs="Times New Roman"/>
        </w:rPr>
        <w:tab/>
        <w:t>(b)</w:t>
      </w:r>
      <w:r w:rsidRPr="00520EAD">
        <w:rPr>
          <w:rFonts w:cs="Times New Roman"/>
        </w:rPr>
        <w:tab/>
        <w:t>four one</w:t>
      </w:r>
      <w:r>
        <w:rPr>
          <w:rFonts w:cs="Times New Roman"/>
        </w:rPr>
        <w:noBreakHyphen/>
      </w:r>
      <w:r w:rsidRPr="00520EAD">
        <w:rPr>
          <w:rFonts w:cs="Times New Roman"/>
        </w:rPr>
        <w:t>hundredths of one percent or more but less than fifteen one</w:t>
      </w:r>
      <w:r>
        <w:rPr>
          <w:rFonts w:cs="Times New Roman"/>
        </w:rPr>
        <w:noBreakHyphen/>
      </w:r>
      <w:r w:rsidRPr="00520EAD">
        <w:rPr>
          <w:rFonts w:cs="Times New Roman"/>
        </w:rPr>
        <w:t>hundredths of one percent, the person must be assessed one ignition interlock device point; or</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r>
      <w:r w:rsidRPr="00520EAD">
        <w:rPr>
          <w:rFonts w:cs="Times New Roman"/>
        </w:rPr>
        <w:tab/>
        <w:t>(c)</w:t>
      </w:r>
      <w:r w:rsidRPr="00520EAD">
        <w:rPr>
          <w:rFonts w:cs="Times New Roman"/>
        </w:rPr>
        <w:tab/>
        <w:t>fifteen one</w:t>
      </w:r>
      <w:r>
        <w:rPr>
          <w:rFonts w:cs="Times New Roman"/>
        </w:rPr>
        <w:noBreakHyphen/>
      </w:r>
      <w:r w:rsidRPr="00520EAD">
        <w:rPr>
          <w:rFonts w:cs="Times New Roman"/>
        </w:rPr>
        <w:t>hundredths of one percent or more, the person must be assessed two ignition interlock device points.</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t>(6)</w:t>
      </w:r>
      <w:r w:rsidRPr="00520EAD">
        <w:rPr>
          <w:rFonts w:cs="Times New Roman"/>
        </w:rPr>
        <w:tab/>
        <w:t>A person may appeal less than four ignition interlock device points received to an administrative hearing officer with the Department of Probation, Parole and Pardon Services through a process established by the Department of Probation, Parole and Pardon Services. The administrative hearing officer</w:t>
      </w:r>
      <w:r w:rsidRPr="00A03462">
        <w:rPr>
          <w:rFonts w:cs="Times New Roman"/>
        </w:rPr>
        <w:t>’</w:t>
      </w:r>
      <w:r w:rsidRPr="00520EAD">
        <w:rPr>
          <w:rFonts w:cs="Times New Roman"/>
        </w:rPr>
        <w:t>s decision on appeal is final and no appeal from such decision is allowed.</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t>(I)(1)</w:t>
      </w:r>
      <w:r w:rsidRPr="00520EAD">
        <w:rPr>
          <w:rFonts w:cs="Times New Roman"/>
        </w:rPr>
        <w:tab/>
        <w:t>If a person</w:t>
      </w:r>
      <w:r w:rsidRPr="00A03462">
        <w:rPr>
          <w:rFonts w:cs="Times New Roman"/>
        </w:rPr>
        <w:t>’</w:t>
      </w:r>
      <w:r w:rsidRPr="00520EAD">
        <w:rPr>
          <w:rFonts w:cs="Times New Roman"/>
        </w:rPr>
        <w:t>s license is suspended due to the accumulation of four or more ignition interlock device points, the Department of Probation, Parole and Pardon Services must provide a notice of assessment of ignition interlock points which must advise the person of his right to request a contested case hearing before the Office of Motor Vehicle Hearings. The notice of assessment of ignition interlock points also must advise the person that, if he does not request a contested case hearing within thirty days of the issuance of the notice of assessment of ignition interlock points, he waives his right to the administrative hearing and the person</w:t>
      </w:r>
      <w:r w:rsidRPr="00A03462">
        <w:rPr>
          <w:rFonts w:cs="Times New Roman"/>
        </w:rPr>
        <w:t>’</w:t>
      </w:r>
      <w:r w:rsidRPr="00520EAD">
        <w:rPr>
          <w:rFonts w:cs="Times New Roman"/>
        </w:rPr>
        <w:t>s driver</w:t>
      </w:r>
      <w:r w:rsidRPr="00A03462">
        <w:rPr>
          <w:rFonts w:cs="Times New Roman"/>
        </w:rPr>
        <w:t>’</w:t>
      </w:r>
      <w:r w:rsidRPr="00520EAD">
        <w:rPr>
          <w:rFonts w:cs="Times New Roman"/>
        </w:rPr>
        <w:t xml:space="preserve">s license is suspended pursuant to </w:t>
      </w:r>
      <w:r>
        <w:rPr>
          <w:rFonts w:cs="Times New Roman"/>
        </w:rPr>
        <w:t>subsection</w:t>
      </w:r>
      <w:r w:rsidRPr="00520EAD">
        <w:rPr>
          <w:rFonts w:cs="Times New Roman"/>
        </w:rPr>
        <w:t xml:space="preserve"> (E).</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t>(2)</w:t>
      </w:r>
      <w:r w:rsidRPr="00520EAD">
        <w:rPr>
          <w:rFonts w:cs="Times New Roman"/>
        </w:rPr>
        <w:tab/>
        <w:t>The person may seek relief from the Department of Probation, Parole and Pardon Services</w:t>
      </w:r>
      <w:r w:rsidRPr="00A03462">
        <w:rPr>
          <w:rFonts w:cs="Times New Roman"/>
        </w:rPr>
        <w:t>’</w:t>
      </w:r>
      <w:r w:rsidRPr="00520EAD">
        <w:rPr>
          <w:rFonts w:cs="Times New Roman"/>
        </w:rPr>
        <w:t xml:space="preserve"> determination that a person</w:t>
      </w:r>
      <w:r w:rsidRPr="00A03462">
        <w:rPr>
          <w:rFonts w:cs="Times New Roman"/>
        </w:rPr>
        <w:t>’</w:t>
      </w:r>
      <w:r w:rsidRPr="00520EAD">
        <w:rPr>
          <w:rFonts w:cs="Times New Roman"/>
        </w:rPr>
        <w:t>s license is suspended due to the accumulation of four or more ignition interlock device points by filing a request for a contested case hearing with the Office of Motor Vehicle Hearings pursuant to the Administrative Procedures Act. The filing of the request for a contested case hearing will stay the driver</w:t>
      </w:r>
      <w:r w:rsidRPr="00A03462">
        <w:rPr>
          <w:rFonts w:cs="Times New Roman"/>
        </w:rPr>
        <w:t>’</w:t>
      </w:r>
      <w:r w:rsidRPr="00520EAD">
        <w:rPr>
          <w:rFonts w:cs="Times New Roman"/>
        </w:rPr>
        <w:t>s license suspension pending the outcome of the hearing. However, the filing of the request for a contested case hearing will not stay the requirements of the person having the ignition interlock device.</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t>(3)</w:t>
      </w:r>
      <w:r w:rsidRPr="00520EAD">
        <w:rPr>
          <w:rFonts w:cs="Times New Roman"/>
        </w:rPr>
        <w:tab/>
        <w:t>At the contested case hearing:</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r>
      <w:r w:rsidRPr="00520EAD">
        <w:rPr>
          <w:rFonts w:cs="Times New Roman"/>
        </w:rPr>
        <w:tab/>
        <w:t>(a)</w:t>
      </w:r>
      <w:r w:rsidRPr="00520EAD">
        <w:rPr>
          <w:rFonts w:cs="Times New Roman"/>
        </w:rPr>
        <w:tab/>
        <w:t>the assessment of driver</w:t>
      </w:r>
      <w:r w:rsidRPr="00A03462">
        <w:rPr>
          <w:rFonts w:cs="Times New Roman"/>
        </w:rPr>
        <w:t>’</w:t>
      </w:r>
      <w:r w:rsidRPr="00520EAD">
        <w:rPr>
          <w:rFonts w:cs="Times New Roman"/>
        </w:rPr>
        <w:t>s license suspension can be upheld;</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r>
      <w:r w:rsidRPr="00520EAD">
        <w:rPr>
          <w:rFonts w:cs="Times New Roman"/>
        </w:rPr>
        <w:tab/>
        <w:t>(b)</w:t>
      </w:r>
      <w:r w:rsidRPr="00520EAD">
        <w:rPr>
          <w:rFonts w:cs="Times New Roman"/>
        </w:rPr>
        <w:tab/>
        <w:t>the driver</w:t>
      </w:r>
      <w:r w:rsidRPr="00A03462">
        <w:rPr>
          <w:rFonts w:cs="Times New Roman"/>
        </w:rPr>
        <w:t>’</w:t>
      </w:r>
      <w:r w:rsidRPr="00520EAD">
        <w:rPr>
          <w:rFonts w:cs="Times New Roman"/>
        </w:rPr>
        <w:t xml:space="preserve">s license suspension can be overturned, or any or all of the contested ignition interlock points included in the device inspection report that results in the contested suspension can be overturned, and the penalties as specified pursuant to </w:t>
      </w:r>
      <w:r>
        <w:rPr>
          <w:rFonts w:cs="Times New Roman"/>
        </w:rPr>
        <w:t xml:space="preserve">subsection </w:t>
      </w:r>
      <w:r w:rsidRPr="00520EAD">
        <w:rPr>
          <w:rFonts w:cs="Times New Roman"/>
        </w:rPr>
        <w:t>(E) will then be imposed accordingly.</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t>(4)</w:t>
      </w:r>
      <w:r w:rsidRPr="00520EAD">
        <w:rPr>
          <w:rFonts w:cs="Times New Roman"/>
        </w:rPr>
        <w:tab/>
        <w:t>A contested case hearing must be held after the request for the hearing is received by the Office of Motor Vehicle Hearings. Nothing in this section prohibits the introduction of evidence at the contested case hearing on the issue of the accuracy of the ignition interlock device. However, if the ignition interlock device is found to not be in working order due to failure of regular maintenance and upkeep by the person challenging the accumulation of ignition interlock points pursuant to the requirement of the ignition interlock program, such allegation cannot serve as a basis to overturn point accumulations.</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t>(5)</w:t>
      </w:r>
      <w:r w:rsidRPr="00520EAD">
        <w:rPr>
          <w:rFonts w:cs="Times New Roman"/>
        </w:rPr>
        <w:tab/>
        <w:t>A written order must be issued by the Office of Motor Vehicle Hearings to all parties either reversing or upholding the assessment of ignition interlock points.</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t>(6)</w:t>
      </w:r>
      <w:r w:rsidRPr="00520EAD">
        <w:rPr>
          <w:rFonts w:cs="Times New Roman"/>
        </w:rPr>
        <w:tab/>
        <w:t>A contested case hearing is governed by the Administrative Procedures Act, and a person has a right to appeal the decision of the hearing officer pursuant to that act to the Administrative Law Court in accordance with its appellate rules. The filing of an appeal does not stay the ignition interlock requirement.</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t>(J)</w:t>
      </w:r>
      <w:r w:rsidRPr="00520EAD">
        <w:rPr>
          <w:rFonts w:cs="Times New Roman"/>
        </w:rPr>
        <w:tab/>
        <w:t>Five years from the date of the person</w:t>
      </w:r>
      <w:r w:rsidRPr="00A03462">
        <w:rPr>
          <w:rFonts w:cs="Times New Roman"/>
        </w:rPr>
        <w:t>’</w:t>
      </w:r>
      <w:r w:rsidRPr="00520EAD">
        <w:rPr>
          <w:rFonts w:cs="Times New Roman"/>
        </w:rPr>
        <w:t>s driver</w:t>
      </w:r>
      <w:r w:rsidRPr="00A03462">
        <w:rPr>
          <w:rFonts w:cs="Times New Roman"/>
        </w:rPr>
        <w:t>’</w:t>
      </w:r>
      <w:r w:rsidRPr="00520EAD">
        <w:rPr>
          <w:rFonts w:cs="Times New Roman"/>
        </w:rPr>
        <w:t>s license reinstatement and every five years thereafter, a fourth or subsequent offender whose license has been reinstated pursuant to Section 56</w:t>
      </w:r>
      <w:r>
        <w:rPr>
          <w:rFonts w:cs="Times New Roman"/>
        </w:rPr>
        <w:noBreakHyphen/>
      </w:r>
      <w:r w:rsidRPr="00520EAD">
        <w:rPr>
          <w:rFonts w:cs="Times New Roman"/>
        </w:rPr>
        <w:t>1</w:t>
      </w:r>
      <w:r>
        <w:rPr>
          <w:rFonts w:cs="Times New Roman"/>
        </w:rPr>
        <w:noBreakHyphen/>
      </w:r>
      <w:r w:rsidRPr="00520EAD">
        <w:rPr>
          <w:rFonts w:cs="Times New Roman"/>
        </w:rPr>
        <w:t>385 may apply to the Department of Probation, Parole and Pardon Services for removal of the ignition interlock device and the removal of the restriction from the person</w:t>
      </w:r>
      <w:r w:rsidRPr="00A03462">
        <w:rPr>
          <w:rFonts w:cs="Times New Roman"/>
        </w:rPr>
        <w:t>’</w:t>
      </w:r>
      <w:r w:rsidRPr="00520EAD">
        <w:rPr>
          <w:rFonts w:cs="Times New Roman"/>
        </w:rPr>
        <w:t>s driver</w:t>
      </w:r>
      <w:r w:rsidRPr="00A03462">
        <w:rPr>
          <w:rFonts w:cs="Times New Roman"/>
        </w:rPr>
        <w:t>’</w:t>
      </w:r>
      <w:r w:rsidRPr="00520EAD">
        <w:rPr>
          <w:rFonts w:cs="Times New Roman"/>
        </w:rPr>
        <w:t>s license. The Department of Probation, Parole and Pardon Services may, for good cause shown, notify the Department of Motor Vehicles that the person is eligible to have the restriction removed from the person</w:t>
      </w:r>
      <w:r w:rsidRPr="00A03462">
        <w:rPr>
          <w:rFonts w:cs="Times New Roman"/>
        </w:rPr>
        <w:t>’</w:t>
      </w:r>
      <w:r w:rsidRPr="00520EAD">
        <w:rPr>
          <w:rFonts w:cs="Times New Roman"/>
        </w:rPr>
        <w:t>s license.</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t>(K)(1)</w:t>
      </w:r>
      <w:r w:rsidRPr="00520EAD">
        <w:rPr>
          <w:rFonts w:cs="Times New Roman"/>
        </w:rPr>
        <w:tab/>
        <w:t>Except as otherwise provided in this section, it is unlawful for a person who is subject to the provisions of this section to drive a motor vehicle that is not equipped with a properly operating, certified ignition interlock device. A person who violates this subsection:</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r>
      <w:r w:rsidRPr="00520EAD">
        <w:rPr>
          <w:rFonts w:cs="Times New Roman"/>
        </w:rPr>
        <w:tab/>
        <w:t>(a)</w:t>
      </w:r>
      <w:r w:rsidRPr="00520EAD">
        <w:rPr>
          <w:rFonts w:cs="Times New Roman"/>
        </w:rPr>
        <w:tab/>
        <w:t>for a first offense, is guilty of a misdemeanor, and, upon conviction, must be fined not less than one thousand dollars or imprisoned not more than one year. The person must have the length of time that the ignition interlock device is required extended by six months;</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r>
      <w:r w:rsidRPr="00520EAD">
        <w:rPr>
          <w:rFonts w:cs="Times New Roman"/>
        </w:rPr>
        <w:tab/>
        <w:t>(b)</w:t>
      </w:r>
      <w:r w:rsidRPr="00520EAD">
        <w:rPr>
          <w:rFonts w:cs="Times New Roman"/>
        </w:rPr>
        <w:tab/>
        <w:t>for a second offense, is guilty of a misdemeanor, and, upon conviction, must be fined not less than five thousand dollars or imprisoned not more than three years. The person must have the length of time that the ignition interlock device is required extended by one year; and</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r>
      <w:r w:rsidRPr="00520EAD">
        <w:rPr>
          <w:rFonts w:cs="Times New Roman"/>
        </w:rPr>
        <w:tab/>
        <w:t>(c)</w:t>
      </w:r>
      <w:r w:rsidRPr="00520EAD">
        <w:rPr>
          <w:rFonts w:cs="Times New Roman"/>
        </w:rPr>
        <w:tab/>
        <w:t>for a third or subsequent offense, is guilty of a felony, and, upon conviction, must be fined not less than ten thousand dollars or imprisoned not more than ten years. The person must have the length of time that the ignition interlock device is required extended by three years.</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t>(2)</w:t>
      </w:r>
      <w:r w:rsidRPr="00520EAD">
        <w:rPr>
          <w:rFonts w:cs="Times New Roman"/>
        </w:rPr>
        <w:tab/>
        <w:t>No portion of the minimum sentence imposed pursuant to this subsection may be suspended.</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t>(3)</w:t>
      </w:r>
      <w:r w:rsidRPr="00520EAD">
        <w:rPr>
          <w:rFonts w:cs="Times New Roman"/>
        </w:rPr>
        <w:tab/>
        <w:t>Notwithstanding any other provision of law, a first or second offense punishable pursuant to this subsection may be tried in summary court.</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t>(L)(1)</w:t>
      </w:r>
      <w:r w:rsidRPr="00520EAD">
        <w:rPr>
          <w:rFonts w:cs="Times New Roman"/>
        </w:rPr>
        <w:tab/>
        <w:t>A person who is required in the course and scope of the person</w:t>
      </w:r>
      <w:r w:rsidRPr="00A03462">
        <w:rPr>
          <w:rFonts w:cs="Times New Roman"/>
        </w:rPr>
        <w:t>’</w:t>
      </w:r>
      <w:r w:rsidRPr="00520EAD">
        <w:rPr>
          <w:rFonts w:cs="Times New Roman"/>
        </w:rPr>
        <w:t>s employment to drive a motor vehicle owned by the person</w:t>
      </w:r>
      <w:r w:rsidRPr="00A03462">
        <w:rPr>
          <w:rFonts w:cs="Times New Roman"/>
        </w:rPr>
        <w:t>’</w:t>
      </w:r>
      <w:r w:rsidRPr="00520EAD">
        <w:rPr>
          <w:rFonts w:cs="Times New Roman"/>
        </w:rPr>
        <w:t>s employer may drive the employer</w:t>
      </w:r>
      <w:r w:rsidRPr="00A03462">
        <w:rPr>
          <w:rFonts w:cs="Times New Roman"/>
        </w:rPr>
        <w:t>’</w:t>
      </w:r>
      <w:r w:rsidRPr="00520EAD">
        <w:rPr>
          <w:rFonts w:cs="Times New Roman"/>
        </w:rPr>
        <w:t>s motor vehicle without installation of an ignition interlock device, provided that the person</w:t>
      </w:r>
      <w:r w:rsidRPr="00A03462">
        <w:rPr>
          <w:rFonts w:cs="Times New Roman"/>
        </w:rPr>
        <w:t>’</w:t>
      </w:r>
      <w:r w:rsidRPr="00520EAD">
        <w:rPr>
          <w:rFonts w:cs="Times New Roman"/>
        </w:rPr>
        <w:t>s use of the employer</w:t>
      </w:r>
      <w:r w:rsidRPr="00A03462">
        <w:rPr>
          <w:rFonts w:cs="Times New Roman"/>
        </w:rPr>
        <w:t>’</w:t>
      </w:r>
      <w:r w:rsidRPr="00520EAD">
        <w:rPr>
          <w:rFonts w:cs="Times New Roman"/>
        </w:rPr>
        <w:t>s motor vehicle is solely for the employer</w:t>
      </w:r>
      <w:r w:rsidRPr="00A03462">
        <w:rPr>
          <w:rFonts w:cs="Times New Roman"/>
        </w:rPr>
        <w:t>’</w:t>
      </w:r>
      <w:r w:rsidRPr="00520EAD">
        <w:rPr>
          <w:rFonts w:cs="Times New Roman"/>
        </w:rPr>
        <w:t>s business purposes.</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0EAD">
        <w:rPr>
          <w:rFonts w:cs="Times New Roman"/>
          <w:u w:color="000000" w:themeColor="text1"/>
        </w:rPr>
        <w:tab/>
      </w:r>
      <w:r w:rsidRPr="00520EAD">
        <w:rPr>
          <w:rFonts w:cs="Times New Roman"/>
          <w:u w:color="000000" w:themeColor="text1"/>
        </w:rPr>
        <w:tab/>
        <w:t>(2)</w:t>
      </w:r>
      <w:r w:rsidRPr="00520EAD">
        <w:rPr>
          <w:rFonts w:cs="Times New Roman"/>
          <w:u w:color="000000" w:themeColor="text1"/>
        </w:rPr>
        <w:tab/>
        <w:t>This subsection does not apply to:</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0EAD">
        <w:rPr>
          <w:rFonts w:cs="Times New Roman"/>
          <w:u w:color="000000" w:themeColor="text1"/>
        </w:rPr>
        <w:tab/>
      </w:r>
      <w:r w:rsidRPr="00520EAD">
        <w:rPr>
          <w:rFonts w:cs="Times New Roman"/>
          <w:u w:color="000000" w:themeColor="text1"/>
        </w:rPr>
        <w:tab/>
      </w:r>
      <w:r w:rsidRPr="00520EAD">
        <w:rPr>
          <w:rFonts w:cs="Times New Roman"/>
          <w:u w:color="000000" w:themeColor="text1"/>
        </w:rPr>
        <w:tab/>
        <w:t>(a)</w:t>
      </w:r>
      <w:r w:rsidRPr="00520EAD">
        <w:rPr>
          <w:rFonts w:cs="Times New Roman"/>
          <w:u w:color="000000" w:themeColor="text1"/>
        </w:rPr>
        <w:tab/>
        <w:t>a person convicted of a second or subsequent violation of Section 56</w:t>
      </w:r>
      <w:r>
        <w:rPr>
          <w:rFonts w:cs="Times New Roman"/>
          <w:u w:color="000000" w:themeColor="text1"/>
        </w:rPr>
        <w:noBreakHyphen/>
      </w:r>
      <w:r w:rsidRPr="00520EAD">
        <w:rPr>
          <w:rFonts w:cs="Times New Roman"/>
          <w:u w:color="000000" w:themeColor="text1"/>
        </w:rPr>
        <w:t>5</w:t>
      </w:r>
      <w:r>
        <w:rPr>
          <w:rFonts w:cs="Times New Roman"/>
          <w:u w:color="000000" w:themeColor="text1"/>
        </w:rPr>
        <w:noBreakHyphen/>
      </w:r>
      <w:r w:rsidRPr="00520EAD">
        <w:rPr>
          <w:rFonts w:cs="Times New Roman"/>
          <w:u w:color="000000" w:themeColor="text1"/>
        </w:rPr>
        <w:t>2930, 56</w:t>
      </w:r>
      <w:r>
        <w:rPr>
          <w:rFonts w:cs="Times New Roman"/>
          <w:u w:color="000000" w:themeColor="text1"/>
        </w:rPr>
        <w:noBreakHyphen/>
      </w:r>
      <w:r w:rsidRPr="00520EAD">
        <w:rPr>
          <w:rFonts w:cs="Times New Roman"/>
          <w:u w:color="000000" w:themeColor="text1"/>
        </w:rPr>
        <w:t>5</w:t>
      </w:r>
      <w:r>
        <w:rPr>
          <w:rFonts w:cs="Times New Roman"/>
          <w:u w:color="000000" w:themeColor="text1"/>
        </w:rPr>
        <w:noBreakHyphen/>
      </w:r>
      <w:r w:rsidRPr="00520EAD">
        <w:rPr>
          <w:rFonts w:cs="Times New Roman"/>
          <w:u w:color="000000" w:themeColor="text1"/>
        </w:rPr>
        <w:t>2933, 56</w:t>
      </w:r>
      <w:r>
        <w:rPr>
          <w:rFonts w:cs="Times New Roman"/>
          <w:u w:color="000000" w:themeColor="text1"/>
        </w:rPr>
        <w:noBreakHyphen/>
      </w:r>
      <w:r w:rsidRPr="00520EAD">
        <w:rPr>
          <w:rFonts w:cs="Times New Roman"/>
          <w:u w:color="000000" w:themeColor="text1"/>
        </w:rPr>
        <w:t>5</w:t>
      </w:r>
      <w:r>
        <w:rPr>
          <w:rFonts w:cs="Times New Roman"/>
          <w:u w:color="000000" w:themeColor="text1"/>
        </w:rPr>
        <w:noBreakHyphen/>
      </w:r>
      <w:r w:rsidRPr="00520EAD">
        <w:rPr>
          <w:rFonts w:cs="Times New Roman"/>
          <w:u w:color="000000" w:themeColor="text1"/>
        </w:rPr>
        <w:t>2945, or a law of another state that prohibits a person from driving a motor vehicle while under the influence of alcohol or other drugs, unless the person</w:t>
      </w:r>
      <w:r w:rsidRPr="00A03462">
        <w:rPr>
          <w:rFonts w:cs="Times New Roman"/>
          <w:u w:color="000000" w:themeColor="text1"/>
        </w:rPr>
        <w:t>’</w:t>
      </w:r>
      <w:r w:rsidRPr="00520EAD">
        <w:rPr>
          <w:rFonts w:cs="Times New Roman"/>
          <w:u w:color="000000" w:themeColor="text1"/>
        </w:rPr>
        <w:t>s driving privileges have been suspended for not less than one year or the person has had an ignition interlock device installed for not less than one year on each of the motor vehicles owned or operated, or both, by the person.</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0EAD">
        <w:rPr>
          <w:rFonts w:cs="Times New Roman"/>
          <w:u w:color="000000" w:themeColor="text1"/>
        </w:rPr>
        <w:tab/>
      </w:r>
      <w:r w:rsidRPr="00520EAD">
        <w:rPr>
          <w:rFonts w:cs="Times New Roman"/>
          <w:u w:color="000000" w:themeColor="text1"/>
        </w:rPr>
        <w:tab/>
      </w:r>
      <w:r w:rsidRPr="00520EAD">
        <w:rPr>
          <w:rFonts w:cs="Times New Roman"/>
          <w:u w:color="000000" w:themeColor="text1"/>
        </w:rPr>
        <w:tab/>
        <w:t>(b)</w:t>
      </w:r>
      <w:r w:rsidRPr="00520EAD">
        <w:rPr>
          <w:rFonts w:cs="Times New Roman"/>
          <w:u w:color="000000" w:themeColor="text1"/>
        </w:rPr>
        <w:tab/>
        <w:t xml:space="preserve">a person who is </w:t>
      </w:r>
      <w:r w:rsidRPr="00520EAD">
        <w:rPr>
          <w:rFonts w:cs="Times New Roman"/>
        </w:rPr>
        <w:t>self</w:t>
      </w:r>
      <w:r>
        <w:rPr>
          <w:rFonts w:cs="Times New Roman"/>
        </w:rPr>
        <w:t xml:space="preserve"> </w:t>
      </w:r>
      <w:r w:rsidRPr="00520EAD">
        <w:rPr>
          <w:rFonts w:cs="Times New Roman"/>
        </w:rPr>
        <w:t>employed</w:t>
      </w:r>
      <w:r w:rsidRPr="00520EAD">
        <w:rPr>
          <w:rFonts w:cs="Times New Roman"/>
          <w:u w:color="000000" w:themeColor="text1"/>
        </w:rPr>
        <w:t xml:space="preserve"> or to a person who is employed by a business owned in whole or in part by the person or a member of the person</w:t>
      </w:r>
      <w:r w:rsidRPr="00A03462">
        <w:rPr>
          <w:rFonts w:cs="Times New Roman"/>
          <w:u w:color="000000" w:themeColor="text1"/>
        </w:rPr>
        <w:t>’</w:t>
      </w:r>
      <w:r w:rsidRPr="00520EAD">
        <w:rPr>
          <w:rFonts w:cs="Times New Roman"/>
          <w:u w:color="000000" w:themeColor="text1"/>
        </w:rPr>
        <w:t>s household or immediate family unless during the defense of a criminal charge, the court finds that the vehicle</w:t>
      </w:r>
      <w:r w:rsidRPr="00A03462">
        <w:rPr>
          <w:rFonts w:cs="Times New Roman"/>
          <w:u w:color="000000" w:themeColor="text1"/>
        </w:rPr>
        <w:t>’</w:t>
      </w:r>
      <w:r w:rsidRPr="00520EAD">
        <w:rPr>
          <w:rFonts w:cs="Times New Roman"/>
          <w:u w:color="000000" w:themeColor="text1"/>
        </w:rPr>
        <w:t>s ownership by the business serves a legitimate business purpose and that titling and registration of the vehicle by the business was not done to circumvent the intent of this section.</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20EAD">
        <w:rPr>
          <w:rFonts w:cs="Times New Roman"/>
          <w:u w:color="000000" w:themeColor="text1"/>
        </w:rPr>
        <w:tab/>
      </w:r>
      <w:r w:rsidRPr="00520EAD">
        <w:rPr>
          <w:rFonts w:cs="Times New Roman"/>
          <w:u w:color="000000" w:themeColor="text1"/>
        </w:rPr>
        <w:tab/>
        <w:t>(3)</w:t>
      </w:r>
      <w:r w:rsidRPr="00520EAD">
        <w:rPr>
          <w:rFonts w:cs="Times New Roman"/>
          <w:u w:color="000000" w:themeColor="text1"/>
        </w:rPr>
        <w:tab/>
        <w:t>Whenever the person operates the employer</w:t>
      </w:r>
      <w:r w:rsidRPr="00A03462">
        <w:rPr>
          <w:rFonts w:cs="Times New Roman"/>
          <w:u w:color="000000" w:themeColor="text1"/>
        </w:rPr>
        <w:t>’</w:t>
      </w:r>
      <w:r w:rsidRPr="00520EAD">
        <w:rPr>
          <w:rFonts w:cs="Times New Roman"/>
          <w:u w:color="000000" w:themeColor="text1"/>
        </w:rPr>
        <w:t>s vehicle pursuant to this subsection, the person shall have with the person a copy of the Department of Motor Vehicles</w:t>
      </w:r>
      <w:r w:rsidRPr="00A03462">
        <w:rPr>
          <w:rFonts w:cs="Times New Roman"/>
          <w:u w:color="000000" w:themeColor="text1"/>
        </w:rPr>
        <w:t>’</w:t>
      </w:r>
      <w:r w:rsidRPr="00520EAD">
        <w:rPr>
          <w:rFonts w:cs="Times New Roman"/>
          <w:u w:color="000000" w:themeColor="text1"/>
        </w:rPr>
        <w:t xml:space="preserve"> form specified by Section 56</w:t>
      </w:r>
      <w:r>
        <w:rPr>
          <w:rFonts w:cs="Times New Roman"/>
          <w:u w:color="000000" w:themeColor="text1"/>
        </w:rPr>
        <w:noBreakHyphen/>
      </w:r>
      <w:r w:rsidRPr="00520EAD">
        <w:rPr>
          <w:rFonts w:cs="Times New Roman"/>
          <w:u w:color="000000" w:themeColor="text1"/>
        </w:rPr>
        <w:t>1</w:t>
      </w:r>
      <w:r>
        <w:rPr>
          <w:rFonts w:cs="Times New Roman"/>
          <w:u w:color="000000" w:themeColor="text1"/>
        </w:rPr>
        <w:noBreakHyphen/>
      </w:r>
      <w:r w:rsidRPr="00520EAD">
        <w:rPr>
          <w:rFonts w:cs="Times New Roman"/>
          <w:u w:color="000000" w:themeColor="text1"/>
        </w:rPr>
        <w:t>400(B).</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u w:color="000000" w:themeColor="text1"/>
        </w:rPr>
        <w:tab/>
      </w:r>
      <w:r w:rsidRPr="00520EAD">
        <w:rPr>
          <w:rFonts w:cs="Times New Roman"/>
          <w:u w:color="000000" w:themeColor="text1"/>
        </w:rPr>
        <w:tab/>
        <w:t>(4)</w:t>
      </w:r>
      <w:r w:rsidRPr="00520EAD">
        <w:rPr>
          <w:rFonts w:cs="Times New Roman"/>
          <w:u w:color="000000" w:themeColor="text1"/>
        </w:rPr>
        <w:tab/>
        <w:t>This subsection will be construed in parallel with the requirements of Section 56</w:t>
      </w:r>
      <w:r>
        <w:rPr>
          <w:rFonts w:cs="Times New Roman"/>
          <w:u w:color="000000" w:themeColor="text1"/>
        </w:rPr>
        <w:noBreakHyphen/>
      </w:r>
      <w:r w:rsidRPr="00520EAD">
        <w:rPr>
          <w:rFonts w:cs="Times New Roman"/>
          <w:u w:color="000000" w:themeColor="text1"/>
        </w:rPr>
        <w:t>1</w:t>
      </w:r>
      <w:r>
        <w:rPr>
          <w:rFonts w:cs="Times New Roman"/>
          <w:u w:color="000000" w:themeColor="text1"/>
        </w:rPr>
        <w:noBreakHyphen/>
      </w:r>
      <w:r w:rsidRPr="00520EAD">
        <w:rPr>
          <w:rFonts w:cs="Times New Roman"/>
          <w:u w:color="000000" w:themeColor="text1"/>
        </w:rPr>
        <w:t>400(B). A waiver issued pursuant to this subsection will be subject to the same review and revocation as described in Section 56</w:t>
      </w:r>
      <w:r>
        <w:rPr>
          <w:rFonts w:cs="Times New Roman"/>
          <w:u w:color="000000" w:themeColor="text1"/>
        </w:rPr>
        <w:noBreakHyphen/>
      </w:r>
      <w:r w:rsidRPr="00520EAD">
        <w:rPr>
          <w:rFonts w:cs="Times New Roman"/>
          <w:u w:color="000000" w:themeColor="text1"/>
        </w:rPr>
        <w:t>1</w:t>
      </w:r>
      <w:r>
        <w:rPr>
          <w:rFonts w:cs="Times New Roman"/>
          <w:u w:color="000000" w:themeColor="text1"/>
        </w:rPr>
        <w:noBreakHyphen/>
      </w:r>
      <w:r w:rsidRPr="00520EAD">
        <w:rPr>
          <w:rFonts w:cs="Times New Roman"/>
          <w:u w:color="000000" w:themeColor="text1"/>
        </w:rPr>
        <w:t>400(B).</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t>(M)</w:t>
      </w:r>
      <w:r w:rsidRPr="00520EAD">
        <w:rPr>
          <w:rFonts w:cs="Times New Roman"/>
        </w:rPr>
        <w:tab/>
        <w:t>It is unlawful for a person to tamper with or disable, or attempt to tamper with or disable, an ignition interlock device installed on a motor vehicle pursuant to this section. Obstructing or obscuring the camera lens of an ignition interlock device constitutes tampering. A person who violates this subsection is guilty of a misdemeanor and, upon conviction, must be fined not more than five hundred dollars or imprisoned not more than thirty days, or both.</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t>(N)</w:t>
      </w:r>
      <w:r w:rsidRPr="00520EAD">
        <w:rPr>
          <w:rFonts w:cs="Times New Roman"/>
        </w:rPr>
        <w:tab/>
        <w:t>It is unlawful for a person to knowingly rent, lease, or otherwise provide a person who is subject to this section with a motor vehicle without a properly operating, certified ignition interlock device. This subsection does not apply if the person began the lease contract period for the motor vehicle prior to the person</w:t>
      </w:r>
      <w:r w:rsidRPr="00A03462">
        <w:rPr>
          <w:rFonts w:cs="Times New Roman"/>
        </w:rPr>
        <w:t>’</w:t>
      </w:r>
      <w:r w:rsidRPr="00520EAD">
        <w:rPr>
          <w:rFonts w:cs="Times New Roman"/>
        </w:rPr>
        <w:t>s arrest for a first offense violation of Section 56</w:t>
      </w:r>
      <w:r>
        <w:rPr>
          <w:rFonts w:cs="Times New Roman"/>
        </w:rPr>
        <w:noBreakHyphen/>
      </w:r>
      <w:r w:rsidRPr="00520EAD">
        <w:rPr>
          <w:rFonts w:cs="Times New Roman"/>
        </w:rPr>
        <w:t>5</w:t>
      </w:r>
      <w:r>
        <w:rPr>
          <w:rFonts w:cs="Times New Roman"/>
        </w:rPr>
        <w:noBreakHyphen/>
      </w:r>
      <w:r w:rsidRPr="00520EAD">
        <w:rPr>
          <w:rFonts w:cs="Times New Roman"/>
        </w:rPr>
        <w:t>2930 or 56</w:t>
      </w:r>
      <w:r>
        <w:rPr>
          <w:rFonts w:cs="Times New Roman"/>
        </w:rPr>
        <w:noBreakHyphen/>
      </w:r>
      <w:r w:rsidRPr="00520EAD">
        <w:rPr>
          <w:rFonts w:cs="Times New Roman"/>
        </w:rPr>
        <w:t>5</w:t>
      </w:r>
      <w:r>
        <w:rPr>
          <w:rFonts w:cs="Times New Roman"/>
        </w:rPr>
        <w:noBreakHyphen/>
      </w:r>
      <w:r w:rsidRPr="00520EAD">
        <w:rPr>
          <w:rFonts w:cs="Times New Roman"/>
        </w:rPr>
        <w:t>2933. A person who violates this subsection is guilty of a misdemeanor, and, upon conviction, must be fined not more than five hundred dollars or imprisoned not more than thirty days, or both.</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t>(O)</w:t>
      </w:r>
      <w:r w:rsidRPr="00520EAD">
        <w:rPr>
          <w:rFonts w:cs="Times New Roman"/>
        </w:rPr>
        <w:tab/>
        <w:t>It is unlawful for a person who is subject to the provisions of this section to solicit or request another person, or for a person to solicit or request another person on behalf of a person who is subject to the provisions of this section, to engage an ignition interlock device to start a motor vehicle with a device installed pursuant to this section or to conduct a running retest while the vehicle is in operation. A person who violates this subsection is guilty of a misdemeanor, and, upon conviction, must be fined not more than five hundred dollars or imprisoned not more than thirty days, or both.</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t>(P)</w:t>
      </w:r>
      <w:r w:rsidRPr="00520EAD">
        <w:rPr>
          <w:rFonts w:cs="Times New Roman"/>
        </w:rPr>
        <w:tab/>
        <w:t>It is unlawful for another person on behalf of a person subject to the provisions of this section to engage an ignition interlock device to start a motor vehicle with a device installed pursuant to this section or to conduct a running retest while that vehicle is in operation. A person who violates this subsection is guilty of a misdemeanor, and, upon conviction, must be fined not more than five hundred dollars or imprisoned not more than thirty days, or both.</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t>(Q)</w:t>
      </w:r>
      <w:r w:rsidRPr="00520EAD">
        <w:rPr>
          <w:rFonts w:cs="Times New Roman"/>
        </w:rPr>
        <w:tab/>
        <w:t>Only ignition interlock devices certified by the Department of Probation, Parole and Pardon Services may be used to fulfill the requirements of this section.</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t>(1)</w:t>
      </w:r>
      <w:r w:rsidRPr="00520EAD">
        <w:rPr>
          <w:rFonts w:cs="Times New Roman"/>
        </w:rPr>
        <w:tab/>
        <w:t>The Department of Probation, Parole and Pardon Services shall certify whether a device meets the accuracy requirements and specifications provided in guidelines or regulations adopted by the National Highway Traffic Safety Administration, as amended from time to time. All devices certified to be used in South Carolina must be set to prohibit the starting of a motor vehicle when an alcohol concentration of two one</w:t>
      </w:r>
      <w:r>
        <w:rPr>
          <w:rFonts w:cs="Times New Roman"/>
        </w:rPr>
        <w:noBreakHyphen/>
      </w:r>
      <w:r w:rsidRPr="00520EAD">
        <w:rPr>
          <w:rFonts w:cs="Times New Roman"/>
        </w:rPr>
        <w:t>hundredths of one percent or more is measured and all running retests must record violations of an alcohol concentration of two one</w:t>
      </w:r>
      <w:r>
        <w:rPr>
          <w:rFonts w:cs="Times New Roman"/>
        </w:rPr>
        <w:noBreakHyphen/>
      </w:r>
      <w:r w:rsidRPr="00520EAD">
        <w:rPr>
          <w:rFonts w:cs="Times New Roman"/>
        </w:rPr>
        <w:t>hundredths of one percent or more, and must capture a photographic image of the driver as the driver is operating the ignition interlock device. The photographic images recorded by the ignition interlock device may be used by the Department of Probation, Parole and Pardon Services to aid in the Department of Probation, Parole and Pardon Services</w:t>
      </w:r>
      <w:r w:rsidRPr="00A03462">
        <w:rPr>
          <w:rFonts w:cs="Times New Roman"/>
        </w:rPr>
        <w:t>’</w:t>
      </w:r>
      <w:r w:rsidRPr="00520EAD">
        <w:rPr>
          <w:rFonts w:cs="Times New Roman"/>
        </w:rPr>
        <w:t xml:space="preserve"> management of the Ignition Interlock Device Program; however, neither the Department of Probation, Parole and Pardon Services, the Department of Probation, Parole and Pardon Services</w:t>
      </w:r>
      <w:r w:rsidRPr="00A03462">
        <w:rPr>
          <w:rFonts w:cs="Times New Roman"/>
        </w:rPr>
        <w:t>’</w:t>
      </w:r>
      <w:r w:rsidRPr="00520EAD">
        <w:rPr>
          <w:rFonts w:cs="Times New Roman"/>
        </w:rPr>
        <w:t xml:space="preserve"> employees, nor any other political subdivision of this State may be held liable for any injury caused by a driver or other person who operates a motor vehicle after the use or attempted use of an ignition interlock device.</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t>(2)</w:t>
      </w:r>
      <w:r w:rsidRPr="00520EAD">
        <w:rPr>
          <w:rFonts w:cs="Times New Roman"/>
        </w:rPr>
        <w:tab/>
        <w:t>The Department of Probation, Parole and Pardon Services shall maintain a current list of certified ignition interlock devices and manufacturers. The list must be updated at least quarterly. If a particular certified device fails to continue to meet federal requirements, the device must be decertified, may not be used until it is compliant with federal requirements, and must be replaced with a device that meets federal requirements. The cost for removal and replacement must be borne by the manufacturer of the noncertified device.</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r>
      <w:r w:rsidRPr="00520EAD">
        <w:rPr>
          <w:rFonts w:cs="Times New Roman"/>
        </w:rPr>
        <w:tab/>
        <w:t>(3)</w:t>
      </w:r>
      <w:r w:rsidRPr="00520EAD">
        <w:rPr>
          <w:rFonts w:cs="Times New Roman"/>
        </w:rPr>
        <w:tab/>
        <w:t>Only ignition interlock installers certified by the Department of Probation, Parole and Pardon Services may install and service ignition interlock devices required pursuant to this section. The Department of Probation, Parole and Pardon Services shall maintain a current list of vendors that are certified to install the devices.</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cs="Times New Roman"/>
        </w:rPr>
        <w:tab/>
        <w:t>(R)</w:t>
      </w:r>
      <w:r w:rsidRPr="00520EAD">
        <w:rPr>
          <w:rFonts w:cs="Times New Roman"/>
        </w:rPr>
        <w:tab/>
        <w:t>In addition to availability under the Freedom of Information Act, any Department of Probation, Parole and Pardon Services policy concerning ignition interlock devices must be made publicly accessible on the Department of Probation, Parole and Pardon Services</w:t>
      </w:r>
      <w:r w:rsidRPr="00A03462">
        <w:rPr>
          <w:rFonts w:cs="Times New Roman"/>
        </w:rPr>
        <w:t>’</w:t>
      </w:r>
      <w:r w:rsidRPr="00520EAD">
        <w:rPr>
          <w:rFonts w:cs="Times New Roman"/>
        </w:rPr>
        <w:t xml:space="preserve"> Internet website. Information obtained by the Department of Probation, Parole and Pardon Services and ignition interlock service providers regarding a person</w:t>
      </w:r>
      <w:r w:rsidRPr="00A03462">
        <w:rPr>
          <w:rFonts w:cs="Times New Roman"/>
        </w:rPr>
        <w:t>’</w:t>
      </w:r>
      <w:r w:rsidRPr="00520EAD">
        <w:rPr>
          <w:rFonts w:cs="Times New Roman"/>
        </w:rPr>
        <w:t>s participation in the Ignition Interlock Device Program is to be used for internal purposes only and is not subject to the Freedom of Information Act. A person participating in the Ignition Interlock Device Program or the person</w:t>
      </w:r>
      <w:r w:rsidRPr="00A03462">
        <w:rPr>
          <w:rFonts w:cs="Times New Roman"/>
        </w:rPr>
        <w:t>’</w:t>
      </w:r>
      <w:r w:rsidRPr="00520EAD">
        <w:rPr>
          <w:rFonts w:cs="Times New Roman"/>
        </w:rPr>
        <w:t>s family member may request that the Department of Probation, Parole and Pardon Services provide the person or family member with information obtained by the department and ignition interlock service providers. The Department of Probation, Parole and Pardon Services may release the information to the person or family member at the department</w:t>
      </w:r>
      <w:r w:rsidRPr="00A03462">
        <w:rPr>
          <w:rFonts w:cs="Times New Roman"/>
        </w:rPr>
        <w:t>’</w:t>
      </w:r>
      <w:r w:rsidRPr="00520EAD">
        <w:rPr>
          <w:rFonts w:cs="Times New Roman"/>
        </w:rPr>
        <w:t xml:space="preserve">s discretion. </w:t>
      </w:r>
      <w:r w:rsidRPr="00520EAD">
        <w:rPr>
          <w:rFonts w:cs="Times New Roman"/>
          <w:u w:color="000000" w:themeColor="text1"/>
        </w:rPr>
        <w:t>The Department of Probation, Parole and Pardon Services and ignition interlock service providers must purge all photographic images collected by the device no later than twelve months from the date of the person</w:t>
      </w:r>
      <w:r w:rsidRPr="00A03462">
        <w:rPr>
          <w:rFonts w:cs="Times New Roman"/>
          <w:u w:color="000000" w:themeColor="text1"/>
        </w:rPr>
        <w:t>’</w:t>
      </w:r>
      <w:r w:rsidRPr="00520EAD">
        <w:rPr>
          <w:rFonts w:cs="Times New Roman"/>
          <w:u w:color="000000" w:themeColor="text1"/>
        </w:rPr>
        <w:t xml:space="preserve">s completion of the Ignition Interlock Device Program. The Department of Probation, Parole and Pardon Services may retain the images past twelve months if there are any pending appeals or contested case hearings involved with that person, and at their conclusion must purge the images.  </w:t>
      </w:r>
      <w:r w:rsidRPr="00520EAD">
        <w:rPr>
          <w:rFonts w:cs="Times New Roman"/>
        </w:rPr>
        <w:t>The Department of Probation, Parole and Pardon Services and ignition interlock service providers must purge all personal information regarding a person</w:t>
      </w:r>
      <w:r w:rsidRPr="00A03462">
        <w:rPr>
          <w:rFonts w:cs="Times New Roman"/>
        </w:rPr>
        <w:t>’</w:t>
      </w:r>
      <w:r w:rsidRPr="00520EAD">
        <w:rPr>
          <w:rFonts w:cs="Times New Roman"/>
        </w:rPr>
        <w:t>s participation in the Ignition Interlock Device Program no later than twelve months from the date of the person</w:t>
      </w:r>
      <w:r w:rsidRPr="00A03462">
        <w:rPr>
          <w:rFonts w:cs="Times New Roman"/>
        </w:rPr>
        <w:t>’</w:t>
      </w:r>
      <w:r w:rsidRPr="00520EAD">
        <w:rPr>
          <w:rFonts w:cs="Times New Roman"/>
        </w:rPr>
        <w:t>s completion of the Ignition Interlock Device Program except for that information which is relevant for pending legal matters.</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20EAD">
        <w:rPr>
          <w:rFonts w:cs="Times New Roman"/>
        </w:rPr>
        <w:tab/>
        <w:t>(S)</w:t>
      </w:r>
      <w:r w:rsidRPr="00520EAD">
        <w:rPr>
          <w:rFonts w:cs="Times New Roman"/>
        </w:rPr>
        <w:tab/>
        <w:t>The Department of Probation, Parole and Pardon Services shall develop policies including, but not limited to, the certification, use, maintenance, and operation of ignition interlock devices and the Ignition Interlock Device Fund.</w:t>
      </w:r>
      <w:r w:rsidRPr="00520EAD">
        <w:rPr>
          <w:rFonts w:eastAsia="Times New Roman" w:cs="Times New Roman"/>
          <w:szCs w:val="20"/>
        </w:rPr>
        <w:t xml:space="preserve"> </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20EAD">
        <w:rPr>
          <w:rFonts w:eastAsia="Times New Roman" w:cs="Times New Roman"/>
          <w:szCs w:val="20"/>
        </w:rPr>
        <w:tab/>
        <w:t>(T)</w:t>
      </w:r>
      <w:r w:rsidRPr="00520EAD">
        <w:rPr>
          <w:rFonts w:eastAsia="Times New Roman" w:cs="Times New Roman"/>
          <w:szCs w:val="20"/>
        </w:rPr>
        <w:tab/>
        <w:t>This section shall apply retroactively to any person currently serving a suspension or denial of the issuance of a license or permit due to a suspension listed in subsection (A).”</w:t>
      </w:r>
    </w:p>
    <w:p w:rsidR="003E4458"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E4458" w:rsidRPr="005674F8"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sidRPr="005674F8">
        <w:rPr>
          <w:rFonts w:eastAsia="Times New Roman" w:cs="Times New Roman"/>
          <w:b/>
        </w:rPr>
        <w:t>Time effective</w:t>
      </w: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E4458" w:rsidRPr="00520EAD"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20EAD">
        <w:rPr>
          <w:rFonts w:eastAsia="Times New Roman" w:cs="Times New Roman"/>
        </w:rPr>
        <w:t>SECTION</w:t>
      </w:r>
      <w:r w:rsidRPr="00520EAD">
        <w:rPr>
          <w:rFonts w:eastAsia="Times New Roman" w:cs="Times New Roman"/>
        </w:rPr>
        <w:tab/>
        <w:t>4.</w:t>
      </w:r>
      <w:r w:rsidRPr="00520EAD">
        <w:rPr>
          <w:rFonts w:eastAsia="Times New Roman" w:cs="Times New Roman"/>
        </w:rPr>
        <w:tab/>
        <w:t>This act takes effect upon approval by the Governor.</w:t>
      </w:r>
    </w:p>
    <w:p w:rsidR="003E4458"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E4458" w:rsidRDefault="003E4458"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28</w:t>
      </w:r>
      <w:r>
        <w:rPr>
          <w:color w:val="000000" w:themeColor="text1"/>
          <w:vertAlign w:val="superscript"/>
        </w:rPr>
        <w:t>th</w:t>
      </w:r>
      <w:r>
        <w:rPr>
          <w:color w:val="000000" w:themeColor="text1"/>
        </w:rPr>
        <w:t xml:space="preserve"> day of May, 2015.</w:t>
      </w:r>
    </w:p>
    <w:p w:rsidR="003E4458" w:rsidRDefault="003E4458" w:rsidP="003E4458">
      <w:pPr>
        <w:jc w:val="both"/>
        <w:rPr>
          <w:color w:val="000000" w:themeColor="text1"/>
        </w:rPr>
      </w:pPr>
    </w:p>
    <w:p w:rsidR="003E4458" w:rsidRDefault="003E4458" w:rsidP="003E4458">
      <w:pPr>
        <w:jc w:val="both"/>
        <w:rPr>
          <w:color w:val="000000" w:themeColor="text1"/>
        </w:rPr>
      </w:pPr>
      <w:r>
        <w:rPr>
          <w:color w:val="000000" w:themeColor="text1"/>
        </w:rPr>
        <w:t>Approved the 1</w:t>
      </w:r>
      <w:r w:rsidRPr="005A2B7A">
        <w:rPr>
          <w:color w:val="000000" w:themeColor="text1"/>
          <w:vertAlign w:val="superscript"/>
        </w:rPr>
        <w:t>st</w:t>
      </w:r>
      <w:r>
        <w:rPr>
          <w:color w:val="000000" w:themeColor="text1"/>
        </w:rPr>
        <w:t xml:space="preserve"> day of June, 2015. </w:t>
      </w:r>
    </w:p>
    <w:p w:rsidR="003E4458" w:rsidRDefault="003E4458" w:rsidP="003E4458">
      <w:pPr>
        <w:jc w:val="center"/>
        <w:rPr>
          <w:color w:val="000000" w:themeColor="text1"/>
        </w:rPr>
      </w:pPr>
    </w:p>
    <w:p w:rsidR="003E4458" w:rsidRDefault="003E4458" w:rsidP="003E4458">
      <w:pPr>
        <w:jc w:val="center"/>
        <w:rPr>
          <w:color w:val="000000" w:themeColor="text1"/>
        </w:rPr>
      </w:pPr>
      <w:r>
        <w:rPr>
          <w:color w:val="000000" w:themeColor="text1"/>
        </w:rPr>
        <w:t>__________</w:t>
      </w:r>
    </w:p>
    <w:p w:rsidR="005D330B" w:rsidRPr="00F66949" w:rsidRDefault="005D330B" w:rsidP="003E44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D330B" w:rsidRPr="00F66949" w:rsidSect="005D330B">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0266B" w:rsidRDefault="0060266B" w:rsidP="007D5FAC">
      <w:r>
        <w:separator/>
      </w:r>
    </w:p>
  </w:endnote>
  <w:endnote w:type="continuationSeparator" w:id="0">
    <w:p w:rsidR="0060266B" w:rsidRDefault="0060266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30B" w:rsidRPr="005D330B" w:rsidRDefault="005D330B" w:rsidP="005D330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E4458">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D330B" w:rsidRDefault="005D33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0266B" w:rsidRDefault="0060266B" w:rsidP="007D5FAC">
      <w:r>
        <w:separator/>
      </w:r>
    </w:p>
  </w:footnote>
  <w:footnote w:type="continuationSeparator" w:id="0">
    <w:p w:rsidR="0060266B" w:rsidRDefault="0060266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590"/>
    <w:docVar w:name="ActSecretary" w:val="Barden"/>
    <w:docVar w:name="ActSIdno" w:val="(26)  590CM15"/>
    <w:docVar w:name="clipname" w:val="590CM15"/>
    <w:docVar w:name="dvBillNumber" w:val="590"/>
    <w:docVar w:name="dvBillNumberPrefix" w:val="S"/>
    <w:docVar w:name="dvOriginalBody" w:val="Senate"/>
    <w:docVar w:name="OrigSENATEBillNo" w:val="590"/>
    <w:docVar w:name="SENATEACTFULLPATH" w:val="L:\COUNCIL\ACTS\590CM15.DOCX"/>
    <w:docVar w:name="WhatActtype" w:val="AN ACT"/>
  </w:docVars>
  <w:rsids>
    <w:rsidRoot w:val="006F5616"/>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A77CE"/>
    <w:rsid w:val="000B03AD"/>
    <w:rsid w:val="000B316D"/>
    <w:rsid w:val="000B36EE"/>
    <w:rsid w:val="000B56CB"/>
    <w:rsid w:val="000D356E"/>
    <w:rsid w:val="000D6F51"/>
    <w:rsid w:val="000E0672"/>
    <w:rsid w:val="001030FE"/>
    <w:rsid w:val="001031AE"/>
    <w:rsid w:val="00103295"/>
    <w:rsid w:val="00103D2E"/>
    <w:rsid w:val="00104519"/>
    <w:rsid w:val="00106968"/>
    <w:rsid w:val="00114830"/>
    <w:rsid w:val="00114E88"/>
    <w:rsid w:val="001237B9"/>
    <w:rsid w:val="00125FC3"/>
    <w:rsid w:val="00131CE5"/>
    <w:rsid w:val="00135DDF"/>
    <w:rsid w:val="00136AA0"/>
    <w:rsid w:val="0013796E"/>
    <w:rsid w:val="00141278"/>
    <w:rsid w:val="0014525A"/>
    <w:rsid w:val="00145689"/>
    <w:rsid w:val="001519E2"/>
    <w:rsid w:val="001626DB"/>
    <w:rsid w:val="00170F30"/>
    <w:rsid w:val="00172771"/>
    <w:rsid w:val="001747A9"/>
    <w:rsid w:val="001750EA"/>
    <w:rsid w:val="001754BB"/>
    <w:rsid w:val="0018353C"/>
    <w:rsid w:val="00184AD0"/>
    <w:rsid w:val="00193F49"/>
    <w:rsid w:val="001A646B"/>
    <w:rsid w:val="001A75A0"/>
    <w:rsid w:val="001B5A28"/>
    <w:rsid w:val="001B65B6"/>
    <w:rsid w:val="001B78F9"/>
    <w:rsid w:val="001B7FF5"/>
    <w:rsid w:val="001C390F"/>
    <w:rsid w:val="001C50A7"/>
    <w:rsid w:val="001C6957"/>
    <w:rsid w:val="001D2186"/>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5B1C"/>
    <w:rsid w:val="0039655A"/>
    <w:rsid w:val="00396C58"/>
    <w:rsid w:val="003A6D96"/>
    <w:rsid w:val="003A7517"/>
    <w:rsid w:val="003B1A01"/>
    <w:rsid w:val="003B2E6E"/>
    <w:rsid w:val="003B355D"/>
    <w:rsid w:val="003B6BB7"/>
    <w:rsid w:val="003B746E"/>
    <w:rsid w:val="003C030C"/>
    <w:rsid w:val="003D2A73"/>
    <w:rsid w:val="003E4458"/>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48AF"/>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674F8"/>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330B"/>
    <w:rsid w:val="005D50CE"/>
    <w:rsid w:val="005D5723"/>
    <w:rsid w:val="005D6054"/>
    <w:rsid w:val="005E07AD"/>
    <w:rsid w:val="005E36AC"/>
    <w:rsid w:val="005F1A8F"/>
    <w:rsid w:val="005F79FF"/>
    <w:rsid w:val="0060266B"/>
    <w:rsid w:val="00602ACC"/>
    <w:rsid w:val="00603619"/>
    <w:rsid w:val="006055BC"/>
    <w:rsid w:val="00605B6E"/>
    <w:rsid w:val="00605C15"/>
    <w:rsid w:val="0060700F"/>
    <w:rsid w:val="0061164A"/>
    <w:rsid w:val="00612BB0"/>
    <w:rsid w:val="006236C9"/>
    <w:rsid w:val="00625487"/>
    <w:rsid w:val="00626F43"/>
    <w:rsid w:val="0063724D"/>
    <w:rsid w:val="0064018A"/>
    <w:rsid w:val="00640999"/>
    <w:rsid w:val="00641A70"/>
    <w:rsid w:val="00643998"/>
    <w:rsid w:val="006462FA"/>
    <w:rsid w:val="00655550"/>
    <w:rsid w:val="00657AB1"/>
    <w:rsid w:val="00660C2C"/>
    <w:rsid w:val="00663AC3"/>
    <w:rsid w:val="00672966"/>
    <w:rsid w:val="00673002"/>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5616"/>
    <w:rsid w:val="007009F2"/>
    <w:rsid w:val="00704FF9"/>
    <w:rsid w:val="007052EC"/>
    <w:rsid w:val="00707063"/>
    <w:rsid w:val="007127A6"/>
    <w:rsid w:val="00731C9E"/>
    <w:rsid w:val="00734C77"/>
    <w:rsid w:val="00737039"/>
    <w:rsid w:val="007373C7"/>
    <w:rsid w:val="007469F9"/>
    <w:rsid w:val="0074783A"/>
    <w:rsid w:val="007514EF"/>
    <w:rsid w:val="00763B31"/>
    <w:rsid w:val="00764BFB"/>
    <w:rsid w:val="00765D0A"/>
    <w:rsid w:val="007664A2"/>
    <w:rsid w:val="007746C2"/>
    <w:rsid w:val="00775216"/>
    <w:rsid w:val="00775B87"/>
    <w:rsid w:val="00784A23"/>
    <w:rsid w:val="007946C3"/>
    <w:rsid w:val="007A73EA"/>
    <w:rsid w:val="007B0E38"/>
    <w:rsid w:val="007B0E40"/>
    <w:rsid w:val="007B296A"/>
    <w:rsid w:val="007B2D27"/>
    <w:rsid w:val="007C3D08"/>
    <w:rsid w:val="007C3EC8"/>
    <w:rsid w:val="007C7B7F"/>
    <w:rsid w:val="007D04D9"/>
    <w:rsid w:val="007D0D81"/>
    <w:rsid w:val="007D424D"/>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498E"/>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D08AE"/>
    <w:rsid w:val="008E03BA"/>
    <w:rsid w:val="008E1BCF"/>
    <w:rsid w:val="008E52AB"/>
    <w:rsid w:val="008F4CA1"/>
    <w:rsid w:val="008F510F"/>
    <w:rsid w:val="008F5F0A"/>
    <w:rsid w:val="008F6363"/>
    <w:rsid w:val="008F6396"/>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5FE5"/>
    <w:rsid w:val="009560AB"/>
    <w:rsid w:val="009631DC"/>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462"/>
    <w:rsid w:val="00A03978"/>
    <w:rsid w:val="00A045BC"/>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3A5C"/>
    <w:rsid w:val="00C15148"/>
    <w:rsid w:val="00C205B1"/>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0EFF"/>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0752E"/>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377D7"/>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A7F6A"/>
    <w:rsid w:val="00DB01BE"/>
    <w:rsid w:val="00DB1297"/>
    <w:rsid w:val="00DC093F"/>
    <w:rsid w:val="00DC2E35"/>
    <w:rsid w:val="00DC6CFE"/>
    <w:rsid w:val="00DD198F"/>
    <w:rsid w:val="00DD2595"/>
    <w:rsid w:val="00DD314B"/>
    <w:rsid w:val="00DD3716"/>
    <w:rsid w:val="00DD3B8D"/>
    <w:rsid w:val="00DD5167"/>
    <w:rsid w:val="00DD557D"/>
    <w:rsid w:val="00DE2D21"/>
    <w:rsid w:val="00DF0E69"/>
    <w:rsid w:val="00DF1F05"/>
    <w:rsid w:val="00E00FC9"/>
    <w:rsid w:val="00E02CA8"/>
    <w:rsid w:val="00E076BB"/>
    <w:rsid w:val="00E14905"/>
    <w:rsid w:val="00E176C6"/>
    <w:rsid w:val="00E22CC4"/>
    <w:rsid w:val="00E3356F"/>
    <w:rsid w:val="00E33964"/>
    <w:rsid w:val="00E3462F"/>
    <w:rsid w:val="00E36231"/>
    <w:rsid w:val="00E500F1"/>
    <w:rsid w:val="00E5358E"/>
    <w:rsid w:val="00E5665F"/>
    <w:rsid w:val="00E60357"/>
    <w:rsid w:val="00E614B9"/>
    <w:rsid w:val="00E61B4C"/>
    <w:rsid w:val="00E71D4E"/>
    <w:rsid w:val="00E757F4"/>
    <w:rsid w:val="00E9303D"/>
    <w:rsid w:val="00E94DDE"/>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49"/>
    <w:rsid w:val="00F669CB"/>
    <w:rsid w:val="00F66E0E"/>
    <w:rsid w:val="00F721C4"/>
    <w:rsid w:val="00F7296A"/>
    <w:rsid w:val="00F86999"/>
    <w:rsid w:val="00F91B0E"/>
    <w:rsid w:val="00FA1013"/>
    <w:rsid w:val="00FA7E14"/>
    <w:rsid w:val="00FB1A6A"/>
    <w:rsid w:val="00FB471B"/>
    <w:rsid w:val="00FC380D"/>
    <w:rsid w:val="00FD6DC2"/>
    <w:rsid w:val="00FD7AFA"/>
    <w:rsid w:val="00FE15B8"/>
    <w:rsid w:val="00FE1D78"/>
    <w:rsid w:val="00FE6887"/>
    <w:rsid w:val="00FF0473"/>
    <w:rsid w:val="00FF3FA7"/>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ABA442C8-2072-4133-AFA8-3D38145E2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D330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3796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3796E"/>
    <w:rPr>
      <w:rFonts w:ascii="Segoe UI" w:hAnsi="Segoe UI" w:cs="Segoe UI"/>
      <w:sz w:val="18"/>
      <w:szCs w:val="18"/>
    </w:rPr>
  </w:style>
  <w:style w:type="table" w:styleId="TableGrid">
    <w:name w:val="Table Grid"/>
    <w:basedOn w:val="TableNormal"/>
    <w:uiPriority w:val="59"/>
    <w:rsid w:val="0064099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D330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730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4-01-15.docx" TargetMode="External"/><Relationship Id="rId13" Type="http://schemas.openxmlformats.org/officeDocument/2006/relationships/hyperlink" Target="file:///h:\SJ%20Archive\2015\04-14-15.docx" TargetMode="External"/><Relationship Id="rId18" Type="http://schemas.openxmlformats.org/officeDocument/2006/relationships/hyperlink" Target="file:///h:\HJ%20Archive\2015\05-19-15.docx" TargetMode="External"/><Relationship Id="rId26" Type="http://schemas.openxmlformats.org/officeDocument/2006/relationships/hyperlink" Target="file:///p:\pprever\2015-16\590_20150401.docx" TargetMode="External"/><Relationship Id="rId3" Type="http://schemas.openxmlformats.org/officeDocument/2006/relationships/webSettings" Target="webSettings.xml"/><Relationship Id="rId21" Type="http://schemas.openxmlformats.org/officeDocument/2006/relationships/hyperlink" Target="file:///h:\HJ%20Archive\2015\05-20-15.docx" TargetMode="External"/><Relationship Id="rId34" Type="http://schemas.openxmlformats.org/officeDocument/2006/relationships/footer" Target="footer1.xml"/><Relationship Id="rId7" Type="http://schemas.openxmlformats.org/officeDocument/2006/relationships/hyperlink" Target="file:///h:\SJ%20Archive\2015\03-24-15.docx" TargetMode="External"/><Relationship Id="rId12" Type="http://schemas.openxmlformats.org/officeDocument/2006/relationships/hyperlink" Target="file:///h:\SJ%20Archive\2015\04-14-15.docx" TargetMode="External"/><Relationship Id="rId17" Type="http://schemas.openxmlformats.org/officeDocument/2006/relationships/hyperlink" Target="file:///h:\HJ%20Archive\2015\05-13-15.docx" TargetMode="External"/><Relationship Id="rId25" Type="http://schemas.openxmlformats.org/officeDocument/2006/relationships/hyperlink" Target="file:///p:\pprever\2015-16\590_20150324.docx" TargetMode="External"/><Relationship Id="rId33" Type="http://schemas.openxmlformats.org/officeDocument/2006/relationships/hyperlink" Target="file:///p:\pprever\2015-16\590_20150520.docx" TargetMode="External"/><Relationship Id="rId2" Type="http://schemas.openxmlformats.org/officeDocument/2006/relationships/settings" Target="settings.xml"/><Relationship Id="rId16" Type="http://schemas.openxmlformats.org/officeDocument/2006/relationships/hyperlink" Target="file:///h:\HJ%20Archive\2015\04-16-15.docx" TargetMode="External"/><Relationship Id="rId20" Type="http://schemas.openxmlformats.org/officeDocument/2006/relationships/hyperlink" Target="file:///h:\HJ%20Archive\2015\05-19-15.docx" TargetMode="External"/><Relationship Id="rId29" Type="http://schemas.openxmlformats.org/officeDocument/2006/relationships/hyperlink" Target="file:///p:\pprever\2015-16\590_20150414.docx" TargetMode="External"/><Relationship Id="rId1" Type="http://schemas.openxmlformats.org/officeDocument/2006/relationships/styles" Target="styles.xml"/><Relationship Id="rId6" Type="http://schemas.openxmlformats.org/officeDocument/2006/relationships/hyperlink" Target="file:///h:\SJ%20Archive\2015\03-24-15.docx" TargetMode="External"/><Relationship Id="rId11" Type="http://schemas.openxmlformats.org/officeDocument/2006/relationships/hyperlink" Target="file:///h:\SJ%20Archive\2015\04-01-15.docx" TargetMode="External"/><Relationship Id="rId24" Type="http://schemas.openxmlformats.org/officeDocument/2006/relationships/hyperlink" Target="http://www.scstatehouse.gov/billsearch.php?billnumbers=590&amp;session=121&amp;summary=B" TargetMode="External"/><Relationship Id="rId32" Type="http://schemas.openxmlformats.org/officeDocument/2006/relationships/hyperlink" Target="file:///p:\pprever\2015-16\590_20150519.docx"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5\04-16-15.docx" TargetMode="External"/><Relationship Id="rId23" Type="http://schemas.openxmlformats.org/officeDocument/2006/relationships/hyperlink" Target="file:///h:\SJ%20Archive\2015\05-21-15.docx" TargetMode="External"/><Relationship Id="rId28" Type="http://schemas.openxmlformats.org/officeDocument/2006/relationships/hyperlink" Target="file:///p:\pprever\2015-16\590_20150407.docx" TargetMode="External"/><Relationship Id="rId36" Type="http://schemas.openxmlformats.org/officeDocument/2006/relationships/fontTable" Target="fontTable.xml"/><Relationship Id="rId10" Type="http://schemas.openxmlformats.org/officeDocument/2006/relationships/hyperlink" Target="file:///h:\SJ%20Archive\2015\04-01-15.docx" TargetMode="External"/><Relationship Id="rId19" Type="http://schemas.openxmlformats.org/officeDocument/2006/relationships/hyperlink" Target="file:///h:\HJ%20Archive\2015\05-19-15.docx" TargetMode="External"/><Relationship Id="rId31" Type="http://schemas.openxmlformats.org/officeDocument/2006/relationships/hyperlink" Target="file:///p:\pprever\2015-16\590_20150514.docx" TargetMode="External"/><Relationship Id="rId4" Type="http://schemas.openxmlformats.org/officeDocument/2006/relationships/footnotes" Target="footnotes.xml"/><Relationship Id="rId9" Type="http://schemas.openxmlformats.org/officeDocument/2006/relationships/hyperlink" Target="file:///h:\SJ%20Archive\2015\04-01-15.docx" TargetMode="External"/><Relationship Id="rId14" Type="http://schemas.openxmlformats.org/officeDocument/2006/relationships/hyperlink" Target="file:///h:\SJ%20Archive\2015\04-14-15.docx" TargetMode="External"/><Relationship Id="rId22" Type="http://schemas.openxmlformats.org/officeDocument/2006/relationships/hyperlink" Target="file:///h:\SJ%20Archive\2015\05-21-15.docx" TargetMode="External"/><Relationship Id="rId27" Type="http://schemas.openxmlformats.org/officeDocument/2006/relationships/hyperlink" Target="file:///p:\pprever\2015-16\590_20150401A.docx" TargetMode="External"/><Relationship Id="rId30" Type="http://schemas.openxmlformats.org/officeDocument/2006/relationships/hyperlink" Target="file:///p:\pprever\2015-16\590_20150513.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5460</Words>
  <Characters>31126</Characters>
  <Application>Microsoft Office Word</Application>
  <DocSecurity>0</DocSecurity>
  <Lines>259</Lines>
  <Paragraphs>73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36513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590: Ignition interlock devices - South Carolina Legislature Online</dc:title>
  <dc:subject/>
  <dc:creator>SandyBarden</dc:creator>
  <cp:keywords/>
  <dc:description/>
  <cp:lastModifiedBy>N Cumfer</cp:lastModifiedBy>
  <cp:revision>2</cp:revision>
  <cp:lastPrinted>2015-05-22T16:31:00Z</cp:lastPrinted>
  <dcterms:created xsi:type="dcterms:W3CDTF">2016-12-02T17:08:00Z</dcterms:created>
  <dcterms:modified xsi:type="dcterms:W3CDTF">2016-12-02T17:08:00Z</dcterms:modified>
</cp:coreProperties>
</file>