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46A4" w:rsidRDefault="007346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34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97C3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945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56289">
        <w:rPr>
          <w:rFonts w:eastAsia="Times New Roman"/>
          <w:color w:val="000000" w:themeColor="text1"/>
          <w:u w:color="000000" w:themeColor="text1"/>
        </w:rPr>
        <w:t>TO AMEND SECTION 42</w:t>
      </w:r>
      <w:r w:rsidRPr="00D56289">
        <w:rPr>
          <w:rFonts w:eastAsia="Times New Roman"/>
          <w:color w:val="000000" w:themeColor="text1"/>
          <w:u w:color="000000" w:themeColor="text1"/>
        </w:rPr>
        <w:noBreakHyphen/>
        <w:t>1</w:t>
      </w:r>
      <w:r w:rsidRPr="00D56289">
        <w:rPr>
          <w:rFonts w:eastAsia="Times New Roman"/>
          <w:color w:val="000000" w:themeColor="text1"/>
          <w:u w:color="000000" w:themeColor="text1"/>
        </w:rPr>
        <w:noBreakHyphen/>
        <w:t>560(b), CODE OF LAWS OF SOUTH CAROLINA, 1976, RELATING TO THE RIGHT TO COMPENSATION NOT AFFECTED BY LIABILITY OF THIRD PARTIES, SO AS TO DEFINE NECESSARY TERMS AND TO PROVIDE THAT ATTORNEY FEES SHALL BE PAID FROM THE FUNDS RECOVERED FOR THE CARRIER FROM THE LIABLE THIRD PARTY</w:t>
      </w:r>
      <w:r>
        <w:rPr>
          <w:rFonts w:eastAsia="Times New Roman"/>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97C34" w:rsidRDefault="00397C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97C34" w:rsidRDefault="00397C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452A" w:rsidRPr="009676D3" w:rsidRDefault="0069452A" w:rsidP="00694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676D3">
        <w:rPr>
          <w:rFonts w:eastAsia="Times New Roman"/>
          <w:color w:val="000000" w:themeColor="text1"/>
          <w:u w:color="000000" w:themeColor="text1"/>
        </w:rPr>
        <w:t>SECTION</w:t>
      </w:r>
      <w:r w:rsidRPr="009676D3">
        <w:rPr>
          <w:rFonts w:eastAsia="Times New Roman"/>
          <w:color w:val="000000" w:themeColor="text1"/>
          <w:u w:color="000000" w:themeColor="text1"/>
        </w:rPr>
        <w:tab/>
        <w:t>1.</w:t>
      </w:r>
      <w:r w:rsidRPr="009676D3">
        <w:rPr>
          <w:rFonts w:eastAsia="Times New Roman"/>
          <w:color w:val="000000" w:themeColor="text1"/>
          <w:u w:color="000000" w:themeColor="text1"/>
        </w:rPr>
        <w:tab/>
        <w:t>Section 42</w:t>
      </w:r>
      <w:r w:rsidRPr="009676D3">
        <w:rPr>
          <w:rFonts w:eastAsia="Times New Roman"/>
          <w:color w:val="000000" w:themeColor="text1"/>
          <w:u w:color="000000" w:themeColor="text1"/>
        </w:rPr>
        <w:noBreakHyphen/>
        <w:t>1</w:t>
      </w:r>
      <w:r w:rsidRPr="009676D3">
        <w:rPr>
          <w:rFonts w:eastAsia="Times New Roman"/>
          <w:color w:val="000000" w:themeColor="text1"/>
          <w:u w:color="000000" w:themeColor="text1"/>
        </w:rPr>
        <w:noBreakHyphen/>
        <w:t>560(b) of the 1976 Code is amended to read:</w:t>
      </w:r>
    </w:p>
    <w:p w:rsidR="0069452A" w:rsidRPr="009676D3" w:rsidRDefault="0069452A" w:rsidP="00694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9452A" w:rsidRPr="009676D3" w:rsidRDefault="0069452A" w:rsidP="00694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9676D3">
        <w:rPr>
          <w:rFonts w:eastAsia="Times New Roman"/>
          <w:color w:val="000000" w:themeColor="text1"/>
          <w:u w:color="000000" w:themeColor="text1"/>
        </w:rPr>
        <w:tab/>
        <w:t>“Section 42</w:t>
      </w:r>
      <w:r w:rsidRPr="009676D3">
        <w:rPr>
          <w:rFonts w:eastAsia="Times New Roman"/>
          <w:color w:val="000000" w:themeColor="text1"/>
          <w:u w:color="000000" w:themeColor="text1"/>
        </w:rPr>
        <w:noBreakHyphen/>
        <w:t>1</w:t>
      </w:r>
      <w:r w:rsidRPr="009676D3">
        <w:rPr>
          <w:rFonts w:eastAsia="Times New Roman"/>
          <w:color w:val="000000" w:themeColor="text1"/>
          <w:u w:color="000000" w:themeColor="text1"/>
        </w:rPr>
        <w:noBreakHyphen/>
        <w:t>560.</w:t>
      </w:r>
      <w:r w:rsidRPr="009676D3">
        <w:rPr>
          <w:rFonts w:eastAsia="Times New Roman"/>
          <w:color w:val="000000" w:themeColor="text1"/>
          <w:u w:color="000000" w:themeColor="text1"/>
        </w:rPr>
        <w:tab/>
        <w:t>(b)</w:t>
      </w:r>
      <w:r w:rsidRPr="009676D3">
        <w:rPr>
          <w:rFonts w:eastAsia="Times New Roman"/>
          <w:color w:val="000000" w:themeColor="text1"/>
          <w:u w:val="single" w:color="000000" w:themeColor="text1"/>
        </w:rPr>
        <w:t>(1)</w:t>
      </w:r>
      <w:r w:rsidRPr="009676D3">
        <w:rPr>
          <w:rFonts w:eastAsia="Times New Roman"/>
          <w:color w:val="000000" w:themeColor="text1"/>
          <w:u w:color="000000" w:themeColor="text1"/>
        </w:rPr>
        <w:tab/>
      </w:r>
      <w:r w:rsidRPr="009676D3">
        <w:rPr>
          <w:rFonts w:eastAsia="Times New Roman"/>
          <w:color w:val="000000" w:themeColor="text1"/>
          <w:u w:val="single" w:color="000000" w:themeColor="text1"/>
        </w:rPr>
        <w:t>For the purposes of this subsection, ‘other expenses’ include, but are not limited to, ambulance costs, medical repricing fee</w:t>
      </w:r>
      <w:r w:rsidR="006A3C82">
        <w:rPr>
          <w:rFonts w:eastAsia="Times New Roman"/>
          <w:color w:val="000000" w:themeColor="text1"/>
          <w:u w:val="single" w:color="000000" w:themeColor="text1"/>
        </w:rPr>
        <w:t>s, legal fees, and outside consu</w:t>
      </w:r>
      <w:r w:rsidR="006A3C82" w:rsidRPr="009676D3">
        <w:rPr>
          <w:rFonts w:eastAsia="Times New Roman"/>
          <w:color w:val="000000" w:themeColor="text1"/>
          <w:u w:val="single" w:color="000000" w:themeColor="text1"/>
        </w:rPr>
        <w:t>ltation</w:t>
      </w:r>
      <w:r w:rsidRPr="009676D3">
        <w:rPr>
          <w:rFonts w:eastAsia="Times New Roman"/>
          <w:color w:val="000000" w:themeColor="text1"/>
          <w:u w:val="single" w:color="000000" w:themeColor="text1"/>
        </w:rPr>
        <w:t xml:space="preserve"> fees.</w:t>
      </w:r>
    </w:p>
    <w:p w:rsidR="00397C34" w:rsidRDefault="0069452A" w:rsidP="00694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676D3">
        <w:rPr>
          <w:rFonts w:eastAsia="Times New Roman"/>
          <w:color w:val="000000" w:themeColor="text1"/>
          <w:u w:color="000000" w:themeColor="text1"/>
        </w:rPr>
        <w:tab/>
      </w:r>
      <w:r w:rsidRPr="009676D3">
        <w:rPr>
          <w:rFonts w:eastAsia="Times New Roman"/>
          <w:color w:val="000000" w:themeColor="text1"/>
          <w:u w:val="single" w:color="000000" w:themeColor="text1"/>
        </w:rPr>
        <w:t>(2)</w:t>
      </w:r>
      <w:r w:rsidRPr="009676D3">
        <w:rPr>
          <w:rFonts w:eastAsia="Times New Roman"/>
          <w:color w:val="000000" w:themeColor="text1"/>
          <w:u w:color="000000" w:themeColor="text1"/>
        </w:rPr>
        <w:tab/>
        <w:t xml:space="preserve">The injured employee or, in the event of his death, his dependents, shall be entitled to receive the compensation and other benefits provided by this title and to enforce by appropriate proceedings his or their rights against the third party; provided, that action against the third party must be commenced not later than one year after the carrier accepts liability for the payment of compensation or makes payment pursuant to an award under this title, except as hereinafter provided.  In such case the carrier shall have a lien on the proceeds of any recovery from the third party whether by judgment, settlement or otherwise, to the extent of the total amount of compensation, including medical and other expenses, paid, or to be paid by such carrier, less the reasonable and necessary expenses, including attorney fees, incurred in effecting the recovery, and to the extent the recovery shall be deemed to be for the benefit of the carrier.  Attorney fees owed and payable by the </w:t>
      </w:r>
      <w:r w:rsidRPr="009676D3">
        <w:rPr>
          <w:rFonts w:eastAsia="Times New Roman"/>
          <w:color w:val="000000" w:themeColor="text1"/>
          <w:u w:color="000000" w:themeColor="text1"/>
        </w:rPr>
        <w:lastRenderedPageBreak/>
        <w:t xml:space="preserve">carrier to the attorneys effecting the recovery shall be set by the commission but shall not exceed one third of the total claim amount paid by the carrier to the injured employee.  Such fees shall be paid from the funds recovered </w:t>
      </w:r>
      <w:r w:rsidRPr="009676D3">
        <w:rPr>
          <w:rFonts w:eastAsia="Times New Roman"/>
          <w:strike/>
          <w:color w:val="000000" w:themeColor="text1"/>
          <w:u w:color="000000" w:themeColor="text1"/>
        </w:rPr>
        <w:t>by</w:t>
      </w:r>
      <w:r w:rsidRPr="009676D3">
        <w:rPr>
          <w:rFonts w:eastAsia="Times New Roman"/>
          <w:color w:val="000000" w:themeColor="text1"/>
          <w:u w:color="000000" w:themeColor="text1"/>
        </w:rPr>
        <w:t xml:space="preserve"> </w:t>
      </w:r>
      <w:r w:rsidRPr="009676D3">
        <w:rPr>
          <w:rFonts w:eastAsia="Times New Roman"/>
          <w:color w:val="000000" w:themeColor="text1"/>
          <w:u w:val="single" w:color="000000" w:themeColor="text1"/>
        </w:rPr>
        <w:t>for</w:t>
      </w:r>
      <w:r w:rsidRPr="009676D3">
        <w:rPr>
          <w:rFonts w:eastAsia="Times New Roman"/>
          <w:color w:val="000000" w:themeColor="text1"/>
          <w:u w:color="000000" w:themeColor="text1"/>
        </w:rPr>
        <w:t xml:space="preserve"> the carrier </w:t>
      </w:r>
      <w:r w:rsidRPr="009676D3">
        <w:rPr>
          <w:rFonts w:eastAsia="Times New Roman"/>
          <w:color w:val="000000" w:themeColor="text1"/>
          <w:u w:val="single" w:color="000000" w:themeColor="text1"/>
        </w:rPr>
        <w:t>from the liable third party</w:t>
      </w:r>
      <w:r w:rsidRPr="009676D3">
        <w:rPr>
          <w:rFonts w:eastAsia="Times New Roman"/>
          <w:color w:val="000000" w:themeColor="text1"/>
          <w:u w:color="000000" w:themeColor="text1"/>
        </w:rPr>
        <w:t>.  Any balance remaining after payment of necessary expenses and satisfaction of the carrier’s lien shall be applied as a credit against future compensation benefits for the same injury or death and shall be distributed as provided in subsection (g).  Notice of the commencement of the action shall be given within thirty days thereafter to the Workers’ Compensation Commission, the employer and carrier upon a form prescribed by the Workers’ Compensation Commission.”</w:t>
      </w:r>
    </w:p>
    <w:p w:rsidR="00397C34" w:rsidRDefault="00397C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7C34" w:rsidRPr="00522CE0" w:rsidRDefault="00397C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9452A">
        <w:rPr>
          <w:rFonts w:eastAsia="Times New Roman"/>
        </w:rPr>
        <w:t>2</w:t>
      </w:r>
      <w:r>
        <w:rPr>
          <w:rFonts w:eastAsia="Times New Roman"/>
        </w:rPr>
        <w:t>.</w:t>
      </w:r>
      <w:r>
        <w:rPr>
          <w:rFonts w:eastAsia="Times New Roman"/>
        </w:rPr>
        <w:tab/>
        <w:t>This act takes effect upon approval by the Governor.</w:t>
      </w:r>
    </w:p>
    <w:p w:rsidR="00957F2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346A4" w:rsidRDefault="007346A4" w:rsidP="007346A4">
      <w:pPr>
        <w:suppressAutoHyphens/>
        <w:jc w:val="both"/>
        <w:rPr>
          <w:rFonts w:eastAsia="Times New Roman"/>
        </w:rPr>
      </w:pPr>
    </w:p>
    <w:sectPr w:rsidR="007346A4" w:rsidSect="007346A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7C34" w:rsidRDefault="00397C34" w:rsidP="00522CE0">
      <w:r>
        <w:separator/>
      </w:r>
    </w:p>
  </w:endnote>
  <w:endnote w:type="continuationSeparator" w:id="0">
    <w:p w:rsidR="00397C34" w:rsidRDefault="00397C3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193183E-2075-4538-9FB8-FC948EB6E0B0}"/>
    <w:embedBold r:id="rId2" w:fontKey="{F9348C4F-CEF0-4D3F-BD5B-81A196D67683}"/>
  </w:font>
  <w:font w:name="Calibri">
    <w:panose1 w:val="020F0502020204030204"/>
    <w:charset w:val="00"/>
    <w:family w:val="swiss"/>
    <w:pitch w:val="variable"/>
    <w:sig w:usb0="E00002FF" w:usb1="4000ACFF" w:usb2="00000001" w:usb3="00000000" w:csb0="0000019F" w:csb1="00000000"/>
    <w:embedRegular r:id="rId3" w:fontKey="{E47ECDCD-0204-4084-A617-B85E924C093D}"/>
  </w:font>
  <w:font w:name="Cambria">
    <w:panose1 w:val="02040503050406030204"/>
    <w:charset w:val="00"/>
    <w:family w:val="roman"/>
    <w:pitch w:val="variable"/>
    <w:sig w:usb0="E00002FF" w:usb1="400004FF" w:usb2="00000000" w:usb3="00000000" w:csb0="0000019F" w:csb1="00000000"/>
    <w:embedRegular r:id="rId4" w:fontKey="{A01946DC-8A1D-4F34-BF7A-67D9AA94AA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F2D" w:rsidRPr="007346A4" w:rsidRDefault="007346A4" w:rsidP="007346A4">
    <w:pPr>
      <w:pStyle w:val="Footer"/>
      <w:tabs>
        <w:tab w:val="clear" w:pos="4680"/>
        <w:tab w:val="clear" w:pos="9360"/>
        <w:tab w:val="center" w:pos="2995"/>
      </w:tabs>
      <w:spacing w:before="120"/>
    </w:pPr>
    <w:r>
      <w:t>[1011]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7C34" w:rsidRDefault="00397C34" w:rsidP="00522CE0">
      <w:r>
        <w:separator/>
      </w:r>
    </w:p>
  </w:footnote>
  <w:footnote w:type="continuationSeparator" w:id="0">
    <w:p w:rsidR="00397C34" w:rsidRDefault="00397C3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84.LS"/>
    <w:docVar w:name="CoverAttorneyInitials" w:val="LS"/>
    <w:docVar w:name="CoverAttorneyLastName" w:val="Simpson"/>
    <w:docVar w:name="CoverBillType" w:val="b"/>
    <w:docVar w:name="DraftFileName" w:val="JUD0084.LS.DOCX"/>
    <w:docVar w:name="DraftStenoName" w:val="Knipp"/>
    <w:docVar w:name="dvBillNumber" w:val="1011"/>
    <w:docVar w:name="dvBillNumberPrefix" w:val="S. "/>
    <w:docVar w:name="dvOriginalBody" w:val="Senate"/>
    <w:docVar w:name="fulldraftpath" w:val="L:\S-JUD\BILLS\Cromer\JUD0084.LS.DOCX"/>
    <w:docVar w:name="NameofBody" w:val="S"/>
    <w:docVar w:name="SenatorFolderName" w:val="Cromer"/>
    <w:docVar w:name="VGROUP2" w:val="S-JUD"/>
  </w:docVars>
  <w:rsids>
    <w:rsidRoot w:val="00397C34"/>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307C2B"/>
    <w:rsid w:val="0031409E"/>
    <w:rsid w:val="0032109A"/>
    <w:rsid w:val="00333DF1"/>
    <w:rsid w:val="0033541C"/>
    <w:rsid w:val="00364389"/>
    <w:rsid w:val="00397C34"/>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5F47F4"/>
    <w:rsid w:val="00600221"/>
    <w:rsid w:val="00606D23"/>
    <w:rsid w:val="00641A16"/>
    <w:rsid w:val="006431BA"/>
    <w:rsid w:val="0069452A"/>
    <w:rsid w:val="006A3C82"/>
    <w:rsid w:val="006B4B3C"/>
    <w:rsid w:val="006C74EA"/>
    <w:rsid w:val="00720D40"/>
    <w:rsid w:val="0073026D"/>
    <w:rsid w:val="007311B4"/>
    <w:rsid w:val="007318D4"/>
    <w:rsid w:val="007346A4"/>
    <w:rsid w:val="00746551"/>
    <w:rsid w:val="00765784"/>
    <w:rsid w:val="007A2CAD"/>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500C4"/>
    <w:rsid w:val="00957F2D"/>
    <w:rsid w:val="00983951"/>
    <w:rsid w:val="00984124"/>
    <w:rsid w:val="00984640"/>
    <w:rsid w:val="00995C37"/>
    <w:rsid w:val="009A7B72"/>
    <w:rsid w:val="009C118A"/>
    <w:rsid w:val="009C6FD3"/>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B754E"/>
    <w:rsid w:val="00BC0A56"/>
    <w:rsid w:val="00C23348"/>
    <w:rsid w:val="00C6454A"/>
    <w:rsid w:val="00C74052"/>
    <w:rsid w:val="00CB187A"/>
    <w:rsid w:val="00CD1843"/>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A3559"/>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F7EFFADC-2ADA-4E02-9ADD-8EB75D917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922A4861.dotm</Template>
  <TotalTime>0</TotalTime>
  <Pages>2</Pages>
  <Words>405</Words>
  <Characters>2043</Characters>
  <Application>Microsoft Office Word</Application>
  <DocSecurity>0</DocSecurity>
  <Lines>57</Lines>
  <Paragraphs>8</Paragraphs>
  <ScaleCrop>false</ScaleCrop>
  <Company> </Company>
  <LinksUpToDate>false</LinksUpToDate>
  <CharactersWithSpaces>2446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1011 Text of Previous Version (Jan. 20, 2016) - South Carolina Legislature Online</dc:title>
  <dc:subject/>
  <dc:creator>LindseyKnipp</dc:creator>
  <cp:keywords/>
  <dc:description/>
  <cp:lastModifiedBy>N Cumfer</cp:lastModifiedBy>
  <cp:revision>2</cp:revision>
  <dcterms:created xsi:type="dcterms:W3CDTF">2016-01-20T19:17:00Z</dcterms:created>
  <dcterms:modified xsi:type="dcterms:W3CDTF">2016-01-20T19:17:00Z</dcterms:modified>
</cp:coreProperties>
</file>