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075" w:rsidRDefault="00435075"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514" w:rsidRDefault="00421514" w:rsidP="0042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62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7C9">
        <w:rPr>
          <w:color w:val="000000" w:themeColor="text1"/>
          <w:u w:color="000000" w:themeColor="text1"/>
        </w:rPr>
        <w:t xml:space="preserve">TO AMEND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1.</w:t>
      </w:r>
      <w:r w:rsidRPr="004607C9">
        <w:rPr>
          <w:color w:val="000000" w:themeColor="text1"/>
          <w:u w:color="000000" w:themeColor="text1"/>
        </w:rPr>
        <w:tab/>
        <w:t>This chapter may be cited as the “Eye Care Consumer Protection Law”.</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2.</w:t>
      </w:r>
      <w:r w:rsidRPr="004607C9">
        <w:rPr>
          <w:color w:val="000000" w:themeColor="text1"/>
          <w:u w:color="000000" w:themeColor="text1"/>
        </w:rPr>
        <w:tab/>
        <w:t>Title 44 of the 1976 Code is amended by adding:</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07C9">
        <w:rPr>
          <w:color w:val="000000" w:themeColor="text1"/>
          <w:u w:color="000000" w:themeColor="text1"/>
        </w:rPr>
        <w:t>CHAPTER 45</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07C9">
        <w:rPr>
          <w:color w:val="000000" w:themeColor="text1"/>
          <w:u w:color="000000" w:themeColor="text1"/>
        </w:rPr>
        <w:t xml:space="preserve">Eye Care Consumer Protection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10.</w:t>
      </w:r>
      <w:r w:rsidRPr="004607C9">
        <w:rPr>
          <w:color w:val="000000" w:themeColor="text1"/>
          <w:u w:color="000000" w:themeColor="text1"/>
        </w:rPr>
        <w:tab/>
        <w:t>For purposes of this chapter, unless the context indicates otherwise: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‘Consumer’ or ‘patient’ means a person who submits to an eye examination or eye evaluation in this State.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‘Consumer disclosure’ means a written disclosure for the benefit and knowledge of a patient on a form approved by the department as to the incomplete nature of an eye exam that is limited to determining refractive error without a diagnosis or evaluation of any ocular or systemic pathologies.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 xml:space="preserve">‘Contact lenses’ means a lens placed directly on the surface of the eye, regardless of whether it is intended to correct a visual </w:t>
      </w:r>
      <w:r w:rsidRPr="004607C9">
        <w:rPr>
          <w:color w:val="000000" w:themeColor="text1"/>
          <w:u w:color="000000" w:themeColor="text1"/>
        </w:rPr>
        <w:lastRenderedPageBreak/>
        <w:t>defect, and includes, but is not limited to, cosmetic, therapeutic, and corrective lenses.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‘Department’ means the South Carolina Department of Health and Environmental Control.</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‘Dispense’ means the act of providing a pair of spectacles or contact lenses to a patient.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 xml:space="preserve">‘Eye examination’ or ‘eye evaluation’ means an assessment of all or a portion of the ocular health profile, which must include a complete written or electronic medical history, as well as an assessment of the visual status of a patient.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‘Kiosk’ means automated equipment or an automated application, which is designed to be used on a phone, computer, or internet</w:t>
      </w:r>
      <w:r w:rsidRPr="004607C9">
        <w:rPr>
          <w:color w:val="000000" w:themeColor="text1"/>
          <w:u w:color="000000" w:themeColor="text1"/>
        </w:rPr>
        <w:noBreakHyphen/>
        <w:t>based device that can be used in person or remotely to provide refractive data or information.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(8)</w:t>
      </w:r>
      <w:r w:rsidRPr="004607C9">
        <w:rPr>
          <w:color w:val="000000" w:themeColor="text1"/>
          <w:u w:color="000000" w:themeColor="text1"/>
        </w:rPr>
        <w:tab/>
        <w:t>‘Licensing board’ means the provider’s licensing board established pursuant to Title 40.</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(9)</w:t>
      </w:r>
      <w:r w:rsidRPr="004607C9">
        <w:rPr>
          <w:color w:val="000000" w:themeColor="text1"/>
          <w:u w:color="000000" w:themeColor="text1"/>
        </w:rPr>
        <w:tab/>
        <w:t xml:space="preserve">‘Medical history’ means a complete collection, written and digital, of all material medical data and a medical profile as is customarily collected under the most recent year’s Current Procedural </w:t>
      </w:r>
      <w:r w:rsidR="0079538E">
        <w:rPr>
          <w:color w:val="000000" w:themeColor="text1"/>
          <w:u w:color="000000" w:themeColor="text1"/>
        </w:rPr>
        <w:t xml:space="preserve">Terminology </w:t>
      </w:r>
      <w:r w:rsidRPr="004607C9">
        <w:rPr>
          <w:color w:val="000000" w:themeColor="text1"/>
          <w:u w:color="000000" w:themeColor="text1"/>
        </w:rPr>
        <w:t xml:space="preserve">(CPT) </w:t>
      </w:r>
      <w:r w:rsidR="0079538E">
        <w:rPr>
          <w:color w:val="000000" w:themeColor="text1"/>
          <w:u w:color="000000" w:themeColor="text1"/>
        </w:rPr>
        <w:t xml:space="preserve">code </w:t>
      </w:r>
      <w:r w:rsidRPr="004607C9">
        <w:rPr>
          <w:color w:val="000000" w:themeColor="text1"/>
          <w:u w:color="000000" w:themeColor="text1"/>
        </w:rPr>
        <w:t>and which must be retained as part of the patient’s medical records in accordance with the provider’s professional licensing requirements.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(10)</w:t>
      </w:r>
      <w:r w:rsidRPr="004607C9">
        <w:rPr>
          <w:color w:val="000000" w:themeColor="text1"/>
          <w:u w:color="000000" w:themeColor="text1"/>
        </w:rPr>
        <w:tab/>
        <w:t>‘Prescription’ means a provider’s handwritten or electronic order to correct refractive error that is based on an eye examination.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(11)</w:t>
      </w:r>
      <w:r w:rsidRPr="004607C9">
        <w:rPr>
          <w:color w:val="000000" w:themeColor="text1"/>
          <w:u w:color="000000" w:themeColor="text1"/>
        </w:rPr>
        <w:tab/>
        <w:t>‘Provider’ means an individual licensed by the South Carolina Board of Examiners in Optometry or the South Carolina Board of Medical Examiners.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(12)</w:t>
      </w:r>
      <w:r w:rsidRPr="004607C9">
        <w:rPr>
          <w:color w:val="000000" w:themeColor="text1"/>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4607C9">
        <w:rPr>
          <w:color w:val="000000" w:themeColor="text1"/>
          <w:u w:color="000000" w:themeColor="text1"/>
        </w:rPr>
        <w:noBreakHyphen/>
        <w:t>the</w:t>
      </w:r>
      <w:r w:rsidRPr="004607C9">
        <w:rPr>
          <w:color w:val="000000" w:themeColor="text1"/>
          <w:u w:color="000000" w:themeColor="text1"/>
        </w:rPr>
        <w:noBreakHyphen/>
        <w:t>counter spectacles not intended to correct or enhance vision or sold without consideration of the visual status of the individual using the spectacles.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(13)</w:t>
      </w:r>
      <w:r>
        <w:rPr>
          <w:color w:val="000000" w:themeColor="text1"/>
          <w:u w:color="000000" w:themeColor="text1"/>
        </w:rPr>
        <w:tab/>
        <w:t>‘</w:t>
      </w:r>
      <w:r w:rsidRPr="004607C9">
        <w:rPr>
          <w:color w:val="000000" w:themeColor="text1"/>
          <w:u w:color="000000" w:themeColor="text1"/>
        </w:rPr>
        <w:t>Visual status’ means the assessment of the visual acuity, accommodation,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4607C9">
        <w:rPr>
          <w:color w:val="000000" w:themeColor="text1"/>
          <w:u w:color="000000" w:themeColor="text1"/>
        </w:rPr>
        <w:noBreakHyphen/>
        <w:t xml:space="preserve">only testing device, to </w:t>
      </w:r>
      <w:r w:rsidRPr="004607C9">
        <w:rPr>
          <w:color w:val="000000" w:themeColor="text1"/>
          <w:u w:color="000000" w:themeColor="text1"/>
        </w:rPr>
        <w:lastRenderedPageBreak/>
        <w:t>provide a medical diagnosis or to establish a refractive error for a patient as part of an eye examination or eye evaluation.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20.</w:t>
      </w:r>
      <w:r w:rsidRPr="004607C9">
        <w:rPr>
          <w:color w:val="000000" w:themeColor="text1"/>
          <w:u w:color="000000" w:themeColor="text1"/>
        </w:rPr>
        <w:tab/>
        <w:t>(A)</w:t>
      </w:r>
      <w:r w:rsidRPr="004607C9">
        <w:rPr>
          <w:color w:val="000000" w:themeColor="text1"/>
          <w:u w:color="000000" w:themeColor="text1"/>
        </w:rPr>
        <w:tab/>
        <w:t xml:space="preserve">A person in this State may not dispense spectacles or contact lenses to a patient without a valid prescription from a provider.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 xml:space="preserve">To be valid, a prescription must contain an expiration date on spectacles </w:t>
      </w:r>
      <w:r w:rsidR="007C7EDF">
        <w:rPr>
          <w:color w:val="000000" w:themeColor="text1"/>
          <w:u w:color="000000" w:themeColor="text1"/>
        </w:rPr>
        <w:t xml:space="preserve">or contact lenses </w:t>
      </w:r>
      <w:r w:rsidRPr="004607C9">
        <w:rPr>
          <w:color w:val="000000" w:themeColor="text1"/>
          <w:u w:color="000000" w:themeColor="text1"/>
        </w:rPr>
        <w:t>of one year from the date of examination by the provider or a statement of the reasons why a shorter time is appropriate based on the medical needs of the patient. A provider may not refuse to issue a prescription for spectacles or contact lenses to a patient. The prescription must take into consideration medical findings made and refractive error discovered during the eye examination.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 xml:space="preserve">A prescription for spectacles or contact lenses may not be based solely on the refractive eye error of the human eye or be generated by a kiosk. </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30.</w:t>
      </w:r>
      <w:r w:rsidRPr="004607C9">
        <w:rPr>
          <w:color w:val="000000" w:themeColor="text1"/>
          <w:u w:color="000000" w:themeColor="text1"/>
        </w:rPr>
        <w:tab/>
        <w:t>A person may not operate a kiosk in this State unless: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(1)</w:t>
      </w:r>
      <w:r w:rsidRPr="004607C9">
        <w:rPr>
          <w:color w:val="000000" w:themeColor="text1"/>
          <w:u w:color="000000" w:themeColor="text1"/>
        </w:rPr>
        <w:tab/>
        <w:t>the kiosk is approved by the United States Food and Drug Administration for the intended use;</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(2)</w:t>
      </w:r>
      <w:r w:rsidRPr="004607C9">
        <w:rPr>
          <w:color w:val="000000" w:themeColor="text1"/>
          <w:u w:color="000000" w:themeColor="text1"/>
        </w:rPr>
        <w:tab/>
        <w:t>the kiosk is designed and operated in a manner that provides the accommodations required by the federal Americans with Disabilities Act;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(3)</w:t>
      </w:r>
      <w:r w:rsidRPr="004607C9">
        <w:rPr>
          <w:color w:val="000000" w:themeColor="text1"/>
          <w:u w:color="000000" w:themeColor="text1"/>
        </w:rPr>
        <w:tab/>
        <w:t>the kiosk and accompanying technology used for the collection and transmission of information and data, including photographs and scans, gathers and transmits protected health information in compliance with the federal Health Insurance Portability and Accountability Act;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(4)</w:t>
      </w:r>
      <w:r w:rsidRPr="004607C9">
        <w:rPr>
          <w:color w:val="000000" w:themeColor="text1"/>
          <w:u w:color="000000" w:themeColor="text1"/>
        </w:rPr>
        <w:tab/>
        <w:t>the procedure for which the kiosk is used has a recognized Current Procedural Terminology (CPT) code maintained by the American Medical Association;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(5)</w:t>
      </w:r>
      <w:r w:rsidRPr="004607C9">
        <w:rPr>
          <w:color w:val="000000" w:themeColor="text1"/>
          <w:u w:color="000000" w:themeColor="text1"/>
        </w:rPr>
        <w:tab/>
        <w:t>the physical location of the kiosk prominently displays the name and state professional license number of the individual provider who will read and interpret the diagnostic information and data, including photographs and scans;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(6)</w:t>
      </w:r>
      <w:r w:rsidRPr="004607C9">
        <w:rPr>
          <w:color w:val="000000" w:themeColor="text1"/>
          <w:u w:color="000000" w:themeColor="text1"/>
        </w:rPr>
        <w:tab/>
        <w:t>diagnostic information and data, including photographs and scans, gathered by the automated equipment is read and interpreted by a provider; and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(7)</w:t>
      </w:r>
      <w:r w:rsidRPr="004607C9">
        <w:rPr>
          <w:color w:val="000000" w:themeColor="text1"/>
          <w:u w:color="000000" w:themeColor="text1"/>
        </w:rPr>
        <w:tab/>
        <w:t>the owner or lessee of the automated equipment maintains liability insurance in an amount of not less than two million dollars per occurrence and four million dollars in the aggregate for claims made by individuals diagnosed or treated based on information and data, including photographs and scans generated by the automated equipment.</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40.</w:t>
      </w:r>
      <w:r w:rsidRPr="004607C9">
        <w:rPr>
          <w:color w:val="000000" w:themeColor="text1"/>
          <w:u w:color="000000" w:themeColor="text1"/>
        </w:rPr>
        <w:tab/>
        <w:t>(A)</w:t>
      </w:r>
      <w:r w:rsidRPr="004607C9">
        <w:rPr>
          <w:color w:val="000000" w:themeColor="text1"/>
          <w:u w:color="000000" w:themeColor="text1"/>
        </w:rPr>
        <w:tab/>
        <w:t>A provider who fails, without good cause, to comply with the requirements of this chapter must be assessed administrative and professional license penalties as follows: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(1)</w:t>
      </w:r>
      <w:r w:rsidRPr="004607C9">
        <w:rPr>
          <w:color w:val="000000" w:themeColor="text1"/>
          <w:u w:color="000000" w:themeColor="text1"/>
        </w:rPr>
        <w:tab/>
        <w:t>for a first violation, a fine of five hundred dollars, a warning letter, and notification to the provider’s licensing board;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(2)</w:t>
      </w:r>
      <w:r w:rsidRPr="004607C9">
        <w:rPr>
          <w:color w:val="000000" w:themeColor="text1"/>
          <w:u w:color="000000" w:themeColor="text1"/>
        </w:rPr>
        <w:tab/>
        <w:t>for a second violation, a fine of one thousand dollars and monthly reporting of compliance by the provider to the provider’s licensing board, under penalty of perjury, for twelve months;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(3)</w:t>
      </w:r>
      <w:r w:rsidRPr="004607C9">
        <w:rPr>
          <w:color w:val="000000" w:themeColor="text1"/>
          <w:u w:color="000000" w:themeColor="text1"/>
        </w:rPr>
        <w:tab/>
        <w:t>for a third violation, a fine of two thousand five hundred dollars and suspension of the provider’s license for ten days; and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r>
      <w:r w:rsidRPr="004607C9">
        <w:rPr>
          <w:color w:val="000000" w:themeColor="text1"/>
          <w:u w:color="000000" w:themeColor="text1"/>
        </w:rPr>
        <w:tab/>
        <w:t>(4)</w:t>
      </w:r>
      <w:r w:rsidRPr="004607C9">
        <w:rPr>
          <w:color w:val="000000" w:themeColor="text1"/>
          <w:u w:color="000000" w:themeColor="text1"/>
        </w:rPr>
        <w:tab/>
        <w:t>for more than three violations, a fine of five thousand dollars and suspension of the provider’s license for ninety days or more, as determined by the provider’s licensing board.</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(B)</w:t>
      </w:r>
      <w:r w:rsidRPr="004607C9">
        <w:rPr>
          <w:color w:val="000000" w:themeColor="text1"/>
          <w:u w:color="000000" w:themeColor="text1"/>
        </w:rPr>
        <w:tab/>
        <w:t>The department within ten days of assessment shall notify the provider’s licensing board of any administrative and professional licensing penalty assessed. Each violation of this chapter constitutes a separate violation for purposes of assessing administrative and professional licensing penalties.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(C)</w:t>
      </w:r>
      <w:r w:rsidRPr="004607C9">
        <w:rPr>
          <w:color w:val="000000" w:themeColor="text1"/>
          <w:u w:color="000000" w:themeColor="text1"/>
        </w:rPr>
        <w:tab/>
        <w:t>The provider’s licensing board shall retain all fine monies assessed and collected pursuant to subsection (B).</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(D</w:t>
      </w:r>
      <w:r w:rsidR="00873620">
        <w:rPr>
          <w:color w:val="000000" w:themeColor="text1"/>
          <w:u w:color="000000" w:themeColor="text1"/>
        </w:rPr>
        <w:t>)</w:t>
      </w:r>
      <w:r w:rsidR="00873620">
        <w:rPr>
          <w:color w:val="000000" w:themeColor="text1"/>
          <w:u w:color="000000" w:themeColor="text1"/>
        </w:rPr>
        <w:tab/>
      </w:r>
      <w:r w:rsidRPr="004607C9">
        <w:rPr>
          <w:color w:val="000000" w:themeColor="text1"/>
          <w:u w:color="000000" w:themeColor="text1"/>
        </w:rPr>
        <w:t>A professional licensing board may take disciplinary action against a provider in addition to assessing a penalty required pursuant to subsection (A).</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50.</w:t>
      </w:r>
      <w:r w:rsidRPr="004607C9">
        <w:rPr>
          <w:color w:val="000000" w:themeColor="text1"/>
          <w:u w:color="000000" w:themeColor="text1"/>
        </w:rPr>
        <w:tab/>
        <w:t>A person or governmental entity that believes there has been a violation or attempted violation of this chapter, or a regulation promulgated pursuant to this chapter, may submit the allegation to the department in writing. If, upon reviewing the written allegation, the department determines there is a reasonable basis for the allegation, the department shall investigate. Nothing in this chapter requires the department to wait until physical injury or other medical harm has occurred to initiate an investigation.</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60.</w:t>
      </w:r>
      <w:r w:rsidRPr="004607C9">
        <w:rPr>
          <w:color w:val="000000" w:themeColor="text1"/>
          <w:u w:color="000000" w:themeColor="text1"/>
        </w:rPr>
        <w:tab/>
        <w:t>The department, as part of investigating an allegation pursuant to Section 44</w:t>
      </w:r>
      <w:r w:rsidRPr="004607C9">
        <w:rPr>
          <w:color w:val="000000" w:themeColor="text1"/>
          <w:u w:color="000000" w:themeColor="text1"/>
        </w:rPr>
        <w:noBreakHyphen/>
        <w:t>45</w:t>
      </w:r>
      <w:r w:rsidRPr="004607C9">
        <w:rPr>
          <w:color w:val="000000" w:themeColor="text1"/>
          <w:u w:color="000000" w:themeColor="text1"/>
        </w:rPr>
        <w:noBreakHyphen/>
        <w:t>50, may hold hearings, administer oaths, and order testimony to be taken at a hearing or by deposition conducted pursuant to the South Carolina Administrative Procedures Act and shall report its findings to the provider’s licensing board for further disposition as to any possible disciplinary matters.</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ab/>
        <w:t>Section 44</w:t>
      </w:r>
      <w:r w:rsidRPr="004607C9">
        <w:rPr>
          <w:color w:val="000000" w:themeColor="text1"/>
          <w:u w:color="000000" w:themeColor="text1"/>
        </w:rPr>
        <w:noBreakHyphen/>
        <w:t>45</w:t>
      </w:r>
      <w:r w:rsidRPr="004607C9">
        <w:rPr>
          <w:color w:val="000000" w:themeColor="text1"/>
          <w:u w:color="000000" w:themeColor="text1"/>
        </w:rPr>
        <w:noBreakHyphen/>
        <w:t>70.</w:t>
      </w:r>
      <w:r w:rsidRPr="004607C9">
        <w:rPr>
          <w:color w:val="000000" w:themeColor="text1"/>
          <w:u w:color="000000" w:themeColor="text1"/>
        </w:rPr>
        <w:tab/>
        <w:t>A person or entity including, but not limited to, a corporation, limited liability company, limited partnership, general partnership, or other non</w:t>
      </w:r>
      <w:r w:rsidRPr="004607C9">
        <w:rPr>
          <w:color w:val="000000" w:themeColor="text1"/>
          <w:u w:color="000000" w:themeColor="text1"/>
        </w:rPr>
        <w:noBreakHyphen/>
        <w:t>individual entity, which aids or assists a provider in violating this chapter must be fined in the same amount as the provider whom the person or entity assisted or aided in violating this chapter. The person or entity also may be subject to civil action, including an action for temporary or permanent injunctive relief, in a court of competent jurisdiction as part of a cause of action filed by the South Carolina Attorney General, the department, or a private party for conduct found to constitute repeat violations of this chapter.”</w:t>
      </w: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BA0" w:rsidRPr="004607C9" w:rsidRDefault="00E30BA0" w:rsidP="00E3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7C9">
        <w:rPr>
          <w:color w:val="000000" w:themeColor="text1"/>
          <w:u w:color="000000" w:themeColor="text1"/>
        </w:rPr>
        <w:t>SECTION</w:t>
      </w:r>
      <w:r w:rsidRPr="004607C9">
        <w:rPr>
          <w:color w:val="000000" w:themeColor="text1"/>
          <w:u w:color="000000" w:themeColor="text1"/>
        </w:rPr>
        <w:tab/>
        <w:t>3.</w:t>
      </w:r>
      <w:r w:rsidRPr="004607C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0BA0" w:rsidRPr="004A01E6" w:rsidRDefault="00E30BA0" w:rsidP="007E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259" w:rsidRDefault="00866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3CE">
        <w:t>4</w:t>
      </w:r>
      <w:r>
        <w:t>.</w:t>
      </w:r>
      <w:r>
        <w:tab/>
        <w:t>This act takes effect upon approval by the Governor.</w:t>
      </w:r>
    </w:p>
    <w:p w:rsidR="001F1EEC" w:rsidRDefault="0010776B" w:rsidP="00BE7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5075" w:rsidRDefault="00435075" w:rsidP="00435075">
      <w:pPr>
        <w:suppressAutoHyphens/>
      </w:pPr>
    </w:p>
    <w:sectPr w:rsidR="00435075" w:rsidSect="00435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344" w:rsidRDefault="00A82344" w:rsidP="009F0C77">
      <w:r>
        <w:separator/>
      </w:r>
    </w:p>
  </w:endnote>
  <w:endnote w:type="continuationSeparator" w:id="0">
    <w:p w:rsidR="00A82344" w:rsidRDefault="00A82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5AEDB5-C8B7-4A55-9CEB-978EA0E3738D}"/>
    <w:embedBold r:id="rId2" w:fontKey="{B634510D-06FD-42F1-A7F4-B212E3536109}"/>
  </w:font>
  <w:font w:name="Calibri">
    <w:panose1 w:val="020F0502020204030204"/>
    <w:charset w:val="00"/>
    <w:family w:val="swiss"/>
    <w:pitch w:val="variable"/>
    <w:sig w:usb0="E00002FF" w:usb1="4000ACFF" w:usb2="00000001" w:usb3="00000000" w:csb0="0000019F" w:csb1="00000000"/>
    <w:embedRegular r:id="rId3" w:fontKey="{D71CB150-3081-4D64-B2B4-03DA34F4979F}"/>
  </w:font>
  <w:font w:name="Segoe UI">
    <w:panose1 w:val="020B0502040204020203"/>
    <w:charset w:val="00"/>
    <w:family w:val="swiss"/>
    <w:pitch w:val="variable"/>
    <w:sig w:usb0="E10022FF" w:usb1="C000E47F" w:usb2="00000029" w:usb3="00000000" w:csb0="000001DF" w:csb1="00000000"/>
    <w:embedRegular r:id="rId4" w:fontKey="{36949655-8F1A-4765-A6C9-9A4AFDF7F4E1}"/>
  </w:font>
  <w:font w:name="Cambria">
    <w:panose1 w:val="02040503050406030204"/>
    <w:charset w:val="00"/>
    <w:family w:val="roman"/>
    <w:pitch w:val="variable"/>
    <w:sig w:usb0="E00002FF" w:usb1="400004FF" w:usb2="00000000" w:usb3="00000000" w:csb0="0000019F" w:csb1="00000000"/>
    <w:embedRegular r:id="rId5" w:fontKey="{B16E47E1-6E88-42C6-9598-B4C2EB76F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EEC" w:rsidRPr="00435075" w:rsidRDefault="00435075" w:rsidP="00435075">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344" w:rsidRDefault="00A82344" w:rsidP="009F0C77">
      <w:r>
        <w:separator/>
      </w:r>
    </w:p>
  </w:footnote>
  <w:footnote w:type="continuationSeparator" w:id="0">
    <w:p w:rsidR="00A82344" w:rsidRDefault="00A82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2VR16"/>
    <w:docVar w:name="CoverBillType" w:val="b"/>
    <w:docVar w:name="docpath" w:val="L:\Council\bills\BH\26392VR16.DOCX"/>
    <w:docVar w:name="dvBillNumber" w:val="1016"/>
    <w:docVar w:name="dvBillNumberPrefix" w:val="S. "/>
    <w:docVar w:name="dvOriginalBody" w:val="Senate"/>
    <w:docVar w:name="dvSteno" w:val="BH"/>
    <w:docVar w:name="NameofBody" w:val="s"/>
    <w:docVar w:name="vgroup2" w:val="Council"/>
  </w:docVars>
  <w:rsids>
    <w:rsidRoot w:val="00866259"/>
    <w:rsid w:val="00026C9A"/>
    <w:rsid w:val="0003110A"/>
    <w:rsid w:val="000965A1"/>
    <w:rsid w:val="000E1785"/>
    <w:rsid w:val="000F39F2"/>
    <w:rsid w:val="001023A4"/>
    <w:rsid w:val="0010776B"/>
    <w:rsid w:val="00133E66"/>
    <w:rsid w:val="00134ACF"/>
    <w:rsid w:val="00144E15"/>
    <w:rsid w:val="001520F7"/>
    <w:rsid w:val="001A4A62"/>
    <w:rsid w:val="001A681E"/>
    <w:rsid w:val="001D08F2"/>
    <w:rsid w:val="001F1EEC"/>
    <w:rsid w:val="002037CA"/>
    <w:rsid w:val="002047A2"/>
    <w:rsid w:val="002321B6"/>
    <w:rsid w:val="0023696B"/>
    <w:rsid w:val="00250967"/>
    <w:rsid w:val="002759C5"/>
    <w:rsid w:val="00277DEE"/>
    <w:rsid w:val="00280D88"/>
    <w:rsid w:val="00294ABE"/>
    <w:rsid w:val="0029561D"/>
    <w:rsid w:val="002A3EB4"/>
    <w:rsid w:val="00325348"/>
    <w:rsid w:val="00393688"/>
    <w:rsid w:val="003D411E"/>
    <w:rsid w:val="003E3C1E"/>
    <w:rsid w:val="003E6148"/>
    <w:rsid w:val="00400EAA"/>
    <w:rsid w:val="00403D96"/>
    <w:rsid w:val="0041760A"/>
    <w:rsid w:val="004203D7"/>
    <w:rsid w:val="00421514"/>
    <w:rsid w:val="0042295C"/>
    <w:rsid w:val="00435075"/>
    <w:rsid w:val="004809EE"/>
    <w:rsid w:val="00511EE9"/>
    <w:rsid w:val="00521C2E"/>
    <w:rsid w:val="00521E00"/>
    <w:rsid w:val="00577C6C"/>
    <w:rsid w:val="0058501B"/>
    <w:rsid w:val="0061228A"/>
    <w:rsid w:val="006215AA"/>
    <w:rsid w:val="006340D9"/>
    <w:rsid w:val="00643B8E"/>
    <w:rsid w:val="00665EBC"/>
    <w:rsid w:val="0069470D"/>
    <w:rsid w:val="00695DFB"/>
    <w:rsid w:val="006A476C"/>
    <w:rsid w:val="006C6A93"/>
    <w:rsid w:val="006E02F9"/>
    <w:rsid w:val="00753C04"/>
    <w:rsid w:val="00756946"/>
    <w:rsid w:val="00757F80"/>
    <w:rsid w:val="00771EEC"/>
    <w:rsid w:val="00786819"/>
    <w:rsid w:val="0079538E"/>
    <w:rsid w:val="007A325A"/>
    <w:rsid w:val="007C3099"/>
    <w:rsid w:val="007C7EDF"/>
    <w:rsid w:val="007E1C94"/>
    <w:rsid w:val="007E72BE"/>
    <w:rsid w:val="007F1523"/>
    <w:rsid w:val="007F509E"/>
    <w:rsid w:val="007F5799"/>
    <w:rsid w:val="007F6947"/>
    <w:rsid w:val="00834A12"/>
    <w:rsid w:val="00857618"/>
    <w:rsid w:val="00866259"/>
    <w:rsid w:val="00872729"/>
    <w:rsid w:val="00873620"/>
    <w:rsid w:val="008F4429"/>
    <w:rsid w:val="00932670"/>
    <w:rsid w:val="009352BB"/>
    <w:rsid w:val="00990668"/>
    <w:rsid w:val="009B397B"/>
    <w:rsid w:val="009F0C77"/>
    <w:rsid w:val="009F4DD1"/>
    <w:rsid w:val="00A269E1"/>
    <w:rsid w:val="00A64E80"/>
    <w:rsid w:val="00A741D9"/>
    <w:rsid w:val="00A82344"/>
    <w:rsid w:val="00A95266"/>
    <w:rsid w:val="00A9741D"/>
    <w:rsid w:val="00AD4B17"/>
    <w:rsid w:val="00B013CE"/>
    <w:rsid w:val="00B26FA6"/>
    <w:rsid w:val="00B31D7B"/>
    <w:rsid w:val="00B50D73"/>
    <w:rsid w:val="00B741CB"/>
    <w:rsid w:val="00B874E3"/>
    <w:rsid w:val="00B934F3"/>
    <w:rsid w:val="00BB6347"/>
    <w:rsid w:val="00BD2134"/>
    <w:rsid w:val="00BE74BF"/>
    <w:rsid w:val="00C038D8"/>
    <w:rsid w:val="00C045DD"/>
    <w:rsid w:val="00C3136F"/>
    <w:rsid w:val="00C3483A"/>
    <w:rsid w:val="00C66236"/>
    <w:rsid w:val="00C74E9D"/>
    <w:rsid w:val="00C82FD3"/>
    <w:rsid w:val="00CC6B7B"/>
    <w:rsid w:val="00CD3619"/>
    <w:rsid w:val="00CF4447"/>
    <w:rsid w:val="00D35723"/>
    <w:rsid w:val="00D405E7"/>
    <w:rsid w:val="00D41D56"/>
    <w:rsid w:val="00D6260D"/>
    <w:rsid w:val="00D6662B"/>
    <w:rsid w:val="00D95E2F"/>
    <w:rsid w:val="00D970A9"/>
    <w:rsid w:val="00DB3AC0"/>
    <w:rsid w:val="00DB4E0C"/>
    <w:rsid w:val="00DC6813"/>
    <w:rsid w:val="00DE68F0"/>
    <w:rsid w:val="00DF3845"/>
    <w:rsid w:val="00DF7E17"/>
    <w:rsid w:val="00E30BA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D362A-0DBD-45D9-95FF-B32193E09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2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47A1C-6885-4F22-B750-98A4362D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2C70407C.dotm</Template>
  <TotalTime>0</TotalTime>
  <Pages>5</Pages>
  <Words>1534</Words>
  <Characters>8286</Characters>
  <Application>Microsoft Office Word</Application>
  <DocSecurity>0</DocSecurity>
  <Lines>199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1016 Text of Previous Version (Jan. 21, 2016) - South Carolina Legislature Online</dc:title>
  <dc:subject/>
  <dc:creator>%USERNAME%</dc:creator>
  <cp:keywords/>
  <dc:description/>
  <cp:lastModifiedBy>N Cumfer</cp:lastModifiedBy>
  <cp:revision>2</cp:revision>
  <cp:lastPrinted>2016-01-19T14:46:00Z</cp:lastPrinted>
  <dcterms:created xsi:type="dcterms:W3CDTF">2016-01-21T16:29:00Z</dcterms:created>
  <dcterms:modified xsi:type="dcterms:W3CDTF">2016-01-21T16:29:00Z</dcterms:modified>
</cp:coreProperties>
</file>