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45DF" w:rsidRP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right" w:pos="5933"/>
        </w:tabs>
        <w:suppressAutoHyphens/>
      </w:pPr>
      <w:r>
        <w:tab/>
      </w:r>
      <w:r>
        <w:rPr>
          <w:b/>
          <w:sz w:val="36"/>
        </w:rPr>
        <w:t>S. 1126</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342A">
        <w:t>Senator Hembree</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1126) </w:t>
      </w:r>
      <w:r w:rsidRPr="00BD45DF">
        <w:rPr>
          <w:color w:val="000000" w:themeColor="text1"/>
          <w:u w:color="000000" w:themeColor="text1"/>
        </w:rPr>
        <w:t>to amend Section 1</w:t>
      </w:r>
      <w:r w:rsidRPr="00BD45DF">
        <w:rPr>
          <w:color w:val="000000" w:themeColor="text1"/>
          <w:u w:color="000000" w:themeColor="text1"/>
        </w:rPr>
        <w:noBreakHyphen/>
        <w:t>7</w:t>
      </w:r>
      <w:r w:rsidRPr="00BD45DF">
        <w:rPr>
          <w:color w:val="000000" w:themeColor="text1"/>
          <w:u w:color="000000" w:themeColor="text1"/>
        </w:rPr>
        <w:noBreakHyphen/>
        <w:t>330, Code of Laws of South Carolina, 1976, relating to attendance at circuit court and preparation and publication of the docket</w:t>
      </w:r>
      <w:r>
        <w:t>, etc., respectfully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the bill, as and if amended, page 3, by striking line 26, in Section 1-7-330(B)(2), as contained in SECTION 1 and inserting therein the following:</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D9E">
        <w:t>/</w:t>
      </w:r>
      <w:r w:rsidRPr="007F4D9E">
        <w:tab/>
      </w:r>
      <w:r w:rsidRPr="007F4D9E">
        <w:tab/>
      </w:r>
      <w:r w:rsidRPr="007F4D9E">
        <w:rPr>
          <w:u w:val="single"/>
        </w:rPr>
        <w:t>preside over the trial of that case, without the consent of the parties</w:t>
      </w:r>
      <w:r w:rsidRPr="007F4D9E">
        <w:t>.</w:t>
      </w:r>
      <w:r w:rsidRPr="007F4D9E">
        <w:tab/>
      </w:r>
      <w:r w:rsidRPr="007F4D9E">
        <w:tab/>
        <w:t>/</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Renumber sections to conform.</w:t>
      </w:r>
    </w:p>
    <w:p w:rsid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title to conform.</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D45DF" w:rsidRDefault="00BD45DF" w:rsidP="00BD45DF">
      <w:pPr>
        <w:tabs>
          <w:tab w:val="left" w:pos="3024"/>
        </w:tabs>
        <w:suppressAutoHyphens/>
      </w:pPr>
      <w:r>
        <w:t>Majority favorable.</w:t>
      </w:r>
      <w:r>
        <w:tab/>
        <w:t>Minority unfavorable.</w:t>
      </w:r>
    </w:p>
    <w:p w:rsidR="00BD45DF" w:rsidRPr="00BD45DF" w:rsidRDefault="00BD45DF" w:rsidP="00BD45DF">
      <w:pPr>
        <w:tabs>
          <w:tab w:val="left" w:pos="3024"/>
        </w:tabs>
        <w:suppressAutoHyphens/>
        <w:rPr>
          <w:sz w:val="20"/>
        </w:rPr>
      </w:pPr>
      <w:r w:rsidRPr="00BD45DF">
        <w:rPr>
          <w:sz w:val="20"/>
        </w:rPr>
        <w:t>LARRY A. MARTIN</w:t>
      </w:r>
      <w:r w:rsidRPr="00BD45DF">
        <w:rPr>
          <w:sz w:val="20"/>
        </w:rPr>
        <w:tab/>
        <w:t>GREG HEMBREE</w:t>
      </w:r>
    </w:p>
    <w:p w:rsidR="00BD45DF" w:rsidRPr="00BD45DF" w:rsidRDefault="00BD45DF" w:rsidP="00BD45DF">
      <w:pPr>
        <w:tabs>
          <w:tab w:val="left" w:pos="3024"/>
        </w:tabs>
        <w:suppressAutoHyphens/>
        <w:rPr>
          <w:sz w:val="20"/>
        </w:rPr>
      </w:pPr>
      <w:r>
        <w:t>For Majority.</w:t>
      </w:r>
      <w:r>
        <w:tab/>
      </w:r>
      <w:r>
        <w:rPr>
          <w:sz w:val="20"/>
        </w:rPr>
        <w:t>MARGIE BRIGHT MATTHEWS</w:t>
      </w:r>
    </w:p>
    <w:p w:rsidR="00BD45DF" w:rsidRDefault="00BD45DF" w:rsidP="00BD45DF">
      <w:pPr>
        <w:tabs>
          <w:tab w:val="left" w:pos="3024"/>
        </w:tabs>
        <w:suppressAutoHyphens/>
      </w:pPr>
      <w:r>
        <w:tab/>
        <w:t>For Minority.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Fiscal Impact Summary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would have no expenditure impact on the general fund, federal funds, or other funds.</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Explanation of Fiscal Impact</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lastRenderedPageBreak/>
        <w:t>State Expenditure</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amends Section 1-7-330 to authorize the circuit solicitor to administer the general sessions court docket plan, to require the solicitor to schedule pleas and motions, and to require the solicitor to publish the docket of defendants who must appear to enter pleas of guilt, reject plea offers, or address other preliminary matters before the court. It also requires the circuit solicitor to submit the trial docket to the chief administrative judge and to notify defendants and their counsel, if any, of the trial docket.  Further, it ensures that the circuit solicitor’s authority to administer the docket does not interfere with defendants’ constitutional rights and allows the circuit court to rule on issues arising from the administration of the docket. The bill also preserves all crime victims’ constitutional rights.</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D45DF">
        <w:rPr>
          <w:b/>
          <w:szCs w:val="22"/>
        </w:rPr>
        <w:t xml:space="preserve">Judicial Department and Commission on Prosecution Coordination.  </w:t>
      </w:r>
      <w:r w:rsidRPr="00BD45DF">
        <w:rPr>
          <w:b/>
          <w:szCs w:val="22"/>
        </w:rPr>
        <w:tab/>
      </w:r>
      <w:r w:rsidRPr="00BD45DF">
        <w:rPr>
          <w:szCs w:val="22"/>
        </w:rPr>
        <w:t>These agencies report that this bill will have no expenditure impact on the general fund, federal funds, or other funds.</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45DF" w:rsidRP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5DF" w:rsidSect="00BD45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6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sidR="000D5853">
        <w:rPr>
          <w:color w:val="000000" w:themeColor="text1"/>
          <w:u w:color="000000" w:themeColor="text1"/>
        </w:rPr>
        <w:noBreakHyphen/>
      </w:r>
      <w:r w:rsidRPr="003D4E53">
        <w:rPr>
          <w:color w:val="000000" w:themeColor="text1"/>
          <w:u w:color="000000" w:themeColor="text1"/>
        </w:rPr>
        <w:t>7</w:t>
      </w:r>
      <w:r w:rsidR="000D5853">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000D5853"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000D5853"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000D5853" w:rsidRPr="000D5853">
        <w:rPr>
          <w:color w:val="000000" w:themeColor="text1"/>
          <w:u w:color="000000" w:themeColor="text1"/>
        </w:rPr>
        <w:t>’</w:t>
      </w:r>
      <w:r w:rsidRPr="003D4E53">
        <w:rPr>
          <w:color w:val="000000" w:themeColor="text1"/>
          <w:u w:color="000000" w:themeColor="text1"/>
        </w:rPr>
        <w:t xml:space="preserve"> CONSTITUTIONAL RIGHTS.</w:t>
      </w:r>
      <w:bookmarkStart w:id="4" w:name="titleend"/>
      <w:bookmarkEnd w:id="4"/>
      <w:bookmarkEnd w:id="1"/>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sidR="0079360A">
        <w:rPr>
          <w:color w:val="000000" w:themeColor="text1"/>
          <w:u w:color="000000" w:themeColor="text1"/>
        </w:rPr>
        <w:t>,</w:t>
      </w:r>
      <w:r w:rsidRPr="003D4E53">
        <w:rPr>
          <w:color w:val="000000" w:themeColor="text1"/>
          <w:u w:color="000000" w:themeColor="text1"/>
        </w:rPr>
        <w:t xml:space="preserve"> under Section 4</w:t>
      </w:r>
      <w:r w:rsidR="0079360A">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w:t>
      </w:r>
      <w:r w:rsidR="0079360A">
        <w:rPr>
          <w:color w:val="000000" w:themeColor="text1"/>
          <w:u w:color="000000" w:themeColor="text1"/>
        </w:rPr>
        <w:t xml:space="preserve"> 1895,</w:t>
      </w:r>
      <w:r>
        <w:rPr>
          <w:color w:val="000000" w:themeColor="text1"/>
          <w:u w:color="000000" w:themeColor="text1"/>
        </w:rPr>
        <w:t xml:space="preserve">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000D5853" w:rsidRPr="000D5853">
        <w:rPr>
          <w:color w:val="000000" w:themeColor="text1"/>
          <w:u w:color="000000" w:themeColor="text1"/>
        </w:rPr>
        <w:t>’</w:t>
      </w:r>
      <w:r w:rsidRPr="003D4E53">
        <w:rPr>
          <w:color w:val="000000" w:themeColor="text1"/>
          <w:u w:color="000000" w:themeColor="text1"/>
        </w:rPr>
        <w:t>s responsibility to establish laws concerning South Carolina</w:t>
      </w:r>
      <w:r w:rsidR="000D5853" w:rsidRPr="000D5853">
        <w:rPr>
          <w:color w:val="000000" w:themeColor="text1"/>
          <w:u w:color="000000" w:themeColor="text1"/>
        </w:rPr>
        <w:t>’</w:t>
      </w:r>
      <w:r w:rsidRPr="003D4E53">
        <w:rPr>
          <w:color w:val="000000" w:themeColor="text1"/>
          <w:u w:color="000000" w:themeColor="text1"/>
        </w:rPr>
        <w:t xml:space="preserve">s criminal justice system; and </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lastRenderedPageBreak/>
        <w:t>Whereas, the General Assembly finds that the executive branch of government in the criminal justice system, as represented by the state</w:t>
      </w:r>
      <w:r w:rsidR="000D5853" w:rsidRPr="000D5853">
        <w:rPr>
          <w:color w:val="000000" w:themeColor="text1"/>
          <w:u w:color="000000" w:themeColor="text1"/>
        </w:rPr>
        <w:t>’</w:t>
      </w:r>
      <w:r w:rsidRPr="003D4E53">
        <w:rPr>
          <w:color w:val="000000" w:themeColor="text1"/>
          <w:u w:color="000000" w:themeColor="text1"/>
        </w:rPr>
        <w:t xml:space="preserve">s </w:t>
      </w:r>
      <w:r>
        <w:rPr>
          <w:color w:val="000000" w:themeColor="text1"/>
          <w:u w:color="000000" w:themeColor="text1"/>
        </w:rPr>
        <w:t>C</w:t>
      </w:r>
      <w:r w:rsidRPr="003D4E53">
        <w:rPr>
          <w:color w:val="000000" w:themeColor="text1"/>
          <w:u w:color="000000" w:themeColor="text1"/>
        </w:rPr>
        <w:t xml:space="preserve">ircuit </w:t>
      </w:r>
      <w:r>
        <w:rPr>
          <w:color w:val="000000" w:themeColor="text1"/>
          <w:u w:color="000000" w:themeColor="text1"/>
        </w:rPr>
        <w:t>S</w:t>
      </w:r>
      <w:r w:rsidRPr="003D4E53">
        <w:rPr>
          <w:color w:val="000000" w:themeColor="text1"/>
          <w:u w:color="000000" w:themeColor="text1"/>
        </w:rPr>
        <w:t>olicitors, is directly accountable to the people of South Carolina;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000D5853" w:rsidRPr="000D5853">
        <w:rPr>
          <w:color w:val="000000" w:themeColor="text1"/>
          <w:u w:color="000000" w:themeColor="text1"/>
        </w:rPr>
        <w:t>’</w:t>
      </w:r>
      <w:r w:rsidRPr="003D4E53">
        <w:rPr>
          <w:color w:val="000000" w:themeColor="text1"/>
          <w:u w:color="000000" w:themeColor="text1"/>
        </w:rPr>
        <w:t>s criminal prosecutions, preparing the general session</w:t>
      </w:r>
      <w:r w:rsidR="000D5853" w:rsidRPr="000D5853">
        <w:rPr>
          <w:color w:val="000000" w:themeColor="text1"/>
          <w:u w:color="000000" w:themeColor="text1"/>
        </w:rPr>
        <w:t>’</w:t>
      </w:r>
      <w:r w:rsidRPr="003D4E53">
        <w:rPr>
          <w:color w:val="000000" w:themeColor="text1"/>
          <w:u w:color="000000" w:themeColor="text1"/>
        </w:rPr>
        <w:t>s docket for the state</w:t>
      </w:r>
      <w:r w:rsidR="000D5853"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perly performed by the elected Circuit S</w:t>
      </w:r>
      <w:r w:rsidRPr="003D4E53">
        <w:rPr>
          <w:color w:val="000000" w:themeColor="text1"/>
          <w:u w:color="000000" w:themeColor="text1"/>
        </w:rPr>
        <w:t>olicitor;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Pr>
          <w:color w:val="000000" w:themeColor="text1"/>
          <w:u w:color="000000" w:themeColor="text1"/>
        </w:rPr>
        <w:t>Circuit S</w:t>
      </w:r>
      <w:r w:rsidRPr="003D4E53">
        <w:rPr>
          <w:color w:val="000000" w:themeColor="text1"/>
          <w:u w:color="000000" w:themeColor="text1"/>
        </w:rPr>
        <w:t>olicitor, when exercising a discretionary official act such as preparing the general sessions court docket and determining the order in which docketed cases are called, should not be restrained or controlled by another branch of government;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e whether a case called by the Circuit S</w:t>
      </w:r>
      <w:r w:rsidRPr="003D4E53">
        <w:rPr>
          <w:color w:val="000000" w:themeColor="text1"/>
          <w:u w:color="000000" w:themeColor="text1"/>
        </w:rPr>
        <w:t>olicitor will be tried at a particular juncture by ruling on motions or objections properly before it.</w:t>
      </w:r>
      <w:r>
        <w:rPr>
          <w:color w:val="000000" w:themeColor="text1"/>
          <w:u w:color="000000" w:themeColor="text1"/>
        </w:rPr>
        <w:t xml:space="preserve">  Now, therefore,</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9412F" w:rsidRPr="003D4E53">
        <w:rPr>
          <w:color w:val="000000" w:themeColor="text1"/>
          <w:u w:color="000000" w:themeColor="text1"/>
        </w:rPr>
        <w:t>Section 1</w:t>
      </w:r>
      <w:r w:rsidR="000D5853">
        <w:rPr>
          <w:color w:val="000000" w:themeColor="text1"/>
          <w:u w:color="000000" w:themeColor="text1"/>
        </w:rPr>
        <w:noBreakHyphen/>
      </w:r>
      <w:r w:rsidR="0099412F" w:rsidRPr="003D4E53">
        <w:rPr>
          <w:color w:val="000000" w:themeColor="text1"/>
          <w:u w:color="000000" w:themeColor="text1"/>
        </w:rPr>
        <w:t>7</w:t>
      </w:r>
      <w:r w:rsidR="000D5853">
        <w:rPr>
          <w:color w:val="000000" w:themeColor="text1"/>
          <w:u w:color="000000" w:themeColor="text1"/>
        </w:rPr>
        <w:noBreakHyphen/>
      </w:r>
      <w:r w:rsidR="0099412F" w:rsidRPr="003D4E53">
        <w:rPr>
          <w:color w:val="000000" w:themeColor="text1"/>
          <w:u w:color="000000" w:themeColor="text1"/>
        </w:rPr>
        <w:t>330 of the 1976 Code is amended to read:</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412F"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0D5853">
        <w:rPr>
          <w:color w:val="000000" w:themeColor="text1"/>
          <w:u w:color="000000" w:themeColor="text1"/>
        </w:rPr>
        <w:noBreakHyphen/>
      </w:r>
      <w:r>
        <w:rPr>
          <w:color w:val="000000" w:themeColor="text1"/>
          <w:u w:color="000000" w:themeColor="text1"/>
        </w:rPr>
        <w:t>7</w:t>
      </w:r>
      <w:r w:rsidR="000D5853">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Criminal cases in circuit court must be calendared by the Circuit Solicitor according to a written criminal case</w:t>
      </w:r>
      <w:r w:rsidR="000D5853">
        <w:rPr>
          <w:color w:val="000000" w:themeColor="text1"/>
          <w:u w:val="single"/>
        </w:rPr>
        <w:noBreakHyphen/>
      </w:r>
      <w:r w:rsidRPr="009F7EC8">
        <w:rPr>
          <w:color w:val="000000" w:themeColor="text1"/>
          <w:u w:val="single"/>
        </w:rPr>
        <w:t>docketing plan developed by the Circuit Solicitor for each circuit.  Each criminal docketing plan must be published on the Circuit Solicitor</w:t>
      </w:r>
      <w:r w:rsidR="000D5853" w:rsidRPr="000D5853">
        <w:rPr>
          <w:color w:val="000000" w:themeColor="text1"/>
          <w:u w:val="single"/>
        </w:rPr>
        <w:t>’</w:t>
      </w:r>
      <w:r w:rsidRPr="009F7EC8">
        <w:rPr>
          <w:color w:val="000000" w:themeColor="text1"/>
          <w:u w:val="single"/>
        </w:rPr>
        <w:t>s website, if available, or at each courthouse in the Circuit Solicitor</w:t>
      </w:r>
      <w:r w:rsidR="000D5853" w:rsidRPr="000D5853">
        <w:rPr>
          <w:color w:val="000000" w:themeColor="text1"/>
          <w:u w:val="single"/>
        </w:rPr>
        <w:t>’</w:t>
      </w:r>
      <w:r w:rsidRPr="009F7EC8">
        <w:rPr>
          <w:color w:val="000000" w:themeColor="text1"/>
          <w:u w:val="single"/>
        </w:rPr>
        <w:t xml:space="preserve">s circuit if a website is unavailable. The Circuit Solicitor, in his sole discretion, </w:t>
      </w:r>
      <w:r w:rsidRPr="009F7EC8">
        <w:rPr>
          <w:color w:val="000000" w:themeColor="text1"/>
          <w:u w:val="single"/>
        </w:rPr>
        <w:lastRenderedPageBreak/>
        <w:t>may develop an individual docketing plan for each county within the circuit.</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Circuit Solicitor has sole discretion of whether to make a defendant a plea offer.  If the Circuit Solicitor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Circuit Solicitor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Circuit Solicitor shall publish a docket of those defendants who are required to appear with counsel to either enter pleas of guilt, reject a plea offer on the record, or deal with other preliminary matters such as bond motions, </w:t>
      </w:r>
      <w:r w:rsidRPr="0099412F">
        <w:rPr>
          <w:color w:val="000000" w:themeColor="text1"/>
          <w:u w:val="single"/>
        </w:rPr>
        <w:t>Schmerber</w:t>
      </w:r>
      <w:r w:rsidRPr="009F7EC8">
        <w:rPr>
          <w:i/>
          <w:color w:val="000000" w:themeColor="text1"/>
          <w:u w:val="single"/>
        </w:rPr>
        <w:t xml:space="preserve"> </w:t>
      </w:r>
      <w:r w:rsidRPr="009F7EC8">
        <w:rPr>
          <w:color w:val="000000" w:themeColor="text1"/>
          <w:u w:val="single"/>
        </w:rPr>
        <w:t>hearings or other similar administrative matters. The Circuit Solicitor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Circuit Solicitor shall submit a trial docket to the chief administrative judge and provide notice to defense counsel and pro se defendants who have cases on the trial docket. The Circuit Solicitor may give notice of the trial docket to defense attorneys and pro se defendants by regular mail, electronic mail or hand delivery to the last known address. The trial docket should not contain cases that the Circuit Solicitor does not reasonably expect to be called for trial or otherwise disposed of during the term of court. In counties in which multiple sessions of court are held, the Circuit Solicitor, at his or her discretion, may publish a trial docket for each session of court.  Defense counsel or pro se defendants must file any motions for continuance with the court within five business days of notice of the trial docket. </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and eighty calendar days of indictment</w:t>
      </w:r>
      <w:r w:rsidR="0079360A">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 xml:space="preserve">by the defendant at any time </w:t>
      </w:r>
      <w:r w:rsidRPr="009F7EC8">
        <w:rPr>
          <w:color w:val="000000" w:themeColor="text1"/>
          <w:u w:val="single"/>
        </w:rPr>
        <w:lastRenderedPageBreak/>
        <w:t>afterwards, the chief administrative judge, or a circuit judge designated by the chief administrative judge, may hold a hearing for the purpose of determining whether a trial date should be set.  In determining whether to grant the defendant</w:t>
      </w:r>
      <w:r w:rsidR="000D5853"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000D5853"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99412F" w:rsidRPr="0079360A"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sidR="0079360A">
        <w:rPr>
          <w:color w:val="000000" w:themeColor="text1"/>
        </w:rPr>
        <w:t>”</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53">
        <w:t>3</w:t>
      </w:r>
      <w:r>
        <w:t>.</w:t>
      </w:r>
      <w:r>
        <w:tab/>
        <w:t>This act takes effect upon approval by the Governor.</w:t>
      </w:r>
    </w:p>
    <w:p w:rsidR="00D9682A" w:rsidRPr="00591D3D" w:rsidRDefault="000D5853" w:rsidP="00D9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D9682A" w:rsidRPr="00591D3D" w:rsidSect="00BD45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0A" w:rsidRDefault="0079360A" w:rsidP="009F0C77">
      <w:r>
        <w:separator/>
      </w:r>
    </w:p>
  </w:endnote>
  <w:endnote w:type="continuationSeparator" w:id="0">
    <w:p w:rsidR="0079360A" w:rsidRDefault="0079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9B6F5E-A6AF-4EE2-8C83-90451B6D84B1}"/>
    <w:embedBold r:id="rId2" w:fontKey="{D47127EF-7B4C-4668-8B45-8678C11C7BE4}"/>
    <w:embedItalic r:id="rId3" w:fontKey="{B35A83A9-A8F4-43A7-9CEC-6FC1FC7A6873}"/>
  </w:font>
  <w:font w:name="Calibri">
    <w:panose1 w:val="020F0502020204030204"/>
    <w:charset w:val="00"/>
    <w:family w:val="swiss"/>
    <w:pitch w:val="variable"/>
    <w:sig w:usb0="E00002FF" w:usb1="4000ACFF" w:usb2="00000001" w:usb3="00000000" w:csb0="0000019F" w:csb1="00000000"/>
    <w:embedRegular r:id="rId4" w:fontKey="{E1336CEF-5A2E-4D75-9FC9-7686A404D911}"/>
  </w:font>
  <w:font w:name="Segoe UI">
    <w:panose1 w:val="020B0502040204020203"/>
    <w:charset w:val="00"/>
    <w:family w:val="swiss"/>
    <w:pitch w:val="variable"/>
    <w:sig w:usb0="E10022FF" w:usb1="C000E47F" w:usb2="00000029" w:usb3="00000000" w:csb0="000001DF" w:csb1="00000000"/>
    <w:embedRegular r:id="rId5" w:fontKey="{F69A2E3A-AC89-479D-BB47-D24C893C034F}"/>
  </w:font>
  <w:font w:name="Cambria">
    <w:panose1 w:val="02040503050406030204"/>
    <w:charset w:val="00"/>
    <w:family w:val="roman"/>
    <w:pitch w:val="variable"/>
    <w:sig w:usb0="E00002FF" w:usb1="400004FF" w:usb2="00000000" w:usb3="00000000" w:csb0="0000019F" w:csb1="00000000"/>
    <w:embedRegular r:id="rId6" w:fontKey="{1E17B7F6-7A63-467C-987F-27DCBA935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7B9" w:rsidRPr="00AF66C5" w:rsidRDefault="00AF66C5" w:rsidP="00AF66C5">
    <w:pPr>
      <w:pStyle w:val="Footer"/>
      <w:tabs>
        <w:tab w:val="clear" w:pos="4680"/>
        <w:tab w:val="clear" w:pos="9360"/>
        <w:tab w:val="center" w:pos="2995"/>
      </w:tabs>
      <w:spacing w:before="120"/>
    </w:pPr>
    <w:r>
      <w:t>[1126</w:t>
    </w:r>
    <w:r w:rsidR="00BD45DF">
      <w:t>-</w:t>
    </w:r>
    <w:r w:rsidR="00BD45DF">
      <w:fldChar w:fldCharType="begin"/>
    </w:r>
    <w:r w:rsidR="00BD45DF">
      <w:instrText xml:space="preserve"> PAGE  \* MERGEFORMAT </w:instrText>
    </w:r>
    <w:r w:rsidR="00BD45DF">
      <w:fldChar w:fldCharType="separate"/>
    </w:r>
    <w:r w:rsidR="00D9682A">
      <w:rPr>
        <w:noProof/>
      </w:rPr>
      <w:t>2</w:t>
    </w:r>
    <w:r w:rsidR="00BD45DF">
      <w:fldChar w:fldCharType="end"/>
    </w:r>
    <w:r w:rsidR="00BD45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DF" w:rsidRPr="00AF66C5" w:rsidRDefault="00BD45DF" w:rsidP="00AF66C5">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D968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0A" w:rsidRDefault="0079360A" w:rsidP="009F0C77">
      <w:r>
        <w:separator/>
      </w:r>
    </w:p>
  </w:footnote>
  <w:footnote w:type="continuationSeparator" w:id="0">
    <w:p w:rsidR="0079360A" w:rsidRDefault="0079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9AHB16"/>
    <w:docVar w:name="CoverBillType" w:val="b"/>
    <w:docVar w:name="docpath" w:val="L:\Council\bills\MS\7219AHB16.DOCX"/>
    <w:docVar w:name="dvBillNumber" w:val="1126"/>
    <w:docVar w:name="dvBillNumberPrefix" w:val="S. "/>
    <w:docVar w:name="dvOriginalBody" w:val="Senate"/>
    <w:docVar w:name="dvSteno" w:val="MS"/>
    <w:docVar w:name="NameofBody" w:val="s"/>
    <w:docVar w:name="vgroup2" w:val="Council"/>
  </w:docVars>
  <w:rsids>
    <w:rsidRoot w:val="0015629D"/>
    <w:rsid w:val="00026C9A"/>
    <w:rsid w:val="000965A1"/>
    <w:rsid w:val="000D5853"/>
    <w:rsid w:val="000E1785"/>
    <w:rsid w:val="000F39F2"/>
    <w:rsid w:val="001023A4"/>
    <w:rsid w:val="0010776B"/>
    <w:rsid w:val="00133E66"/>
    <w:rsid w:val="00134ACF"/>
    <w:rsid w:val="00144E15"/>
    <w:rsid w:val="001562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1BE"/>
    <w:rsid w:val="003D411E"/>
    <w:rsid w:val="003E3C1E"/>
    <w:rsid w:val="003E6148"/>
    <w:rsid w:val="00400EAA"/>
    <w:rsid w:val="0041760A"/>
    <w:rsid w:val="004203D7"/>
    <w:rsid w:val="004809EE"/>
    <w:rsid w:val="004F0BDA"/>
    <w:rsid w:val="005067B9"/>
    <w:rsid w:val="00511EE9"/>
    <w:rsid w:val="00521E00"/>
    <w:rsid w:val="00577C6C"/>
    <w:rsid w:val="0058501B"/>
    <w:rsid w:val="00591D3D"/>
    <w:rsid w:val="0061228A"/>
    <w:rsid w:val="006215AA"/>
    <w:rsid w:val="006340D9"/>
    <w:rsid w:val="00643B8E"/>
    <w:rsid w:val="00665EBC"/>
    <w:rsid w:val="0069470D"/>
    <w:rsid w:val="006A476C"/>
    <w:rsid w:val="006C6A93"/>
    <w:rsid w:val="006E02F9"/>
    <w:rsid w:val="00753C04"/>
    <w:rsid w:val="00756946"/>
    <w:rsid w:val="00757F80"/>
    <w:rsid w:val="00771EEC"/>
    <w:rsid w:val="00777D51"/>
    <w:rsid w:val="00786819"/>
    <w:rsid w:val="0079360A"/>
    <w:rsid w:val="007A325A"/>
    <w:rsid w:val="007C3099"/>
    <w:rsid w:val="007E72BE"/>
    <w:rsid w:val="007F1523"/>
    <w:rsid w:val="007F509E"/>
    <w:rsid w:val="007F5799"/>
    <w:rsid w:val="007F6947"/>
    <w:rsid w:val="00817C8D"/>
    <w:rsid w:val="00834A12"/>
    <w:rsid w:val="00872729"/>
    <w:rsid w:val="008F4429"/>
    <w:rsid w:val="00932670"/>
    <w:rsid w:val="009352BB"/>
    <w:rsid w:val="00990668"/>
    <w:rsid w:val="0099412F"/>
    <w:rsid w:val="009B397B"/>
    <w:rsid w:val="009F0C77"/>
    <w:rsid w:val="009F4DD1"/>
    <w:rsid w:val="00A64E80"/>
    <w:rsid w:val="00A741D9"/>
    <w:rsid w:val="00A9741D"/>
    <w:rsid w:val="00AD4B17"/>
    <w:rsid w:val="00AF66C5"/>
    <w:rsid w:val="00B26FA6"/>
    <w:rsid w:val="00B741CB"/>
    <w:rsid w:val="00B934F3"/>
    <w:rsid w:val="00B94D68"/>
    <w:rsid w:val="00BB6347"/>
    <w:rsid w:val="00BD2134"/>
    <w:rsid w:val="00BD45DF"/>
    <w:rsid w:val="00C038D8"/>
    <w:rsid w:val="00C045DD"/>
    <w:rsid w:val="00C3136F"/>
    <w:rsid w:val="00C3483A"/>
    <w:rsid w:val="00C471AB"/>
    <w:rsid w:val="00C74E9D"/>
    <w:rsid w:val="00C82FD3"/>
    <w:rsid w:val="00CC6B7B"/>
    <w:rsid w:val="00CD3619"/>
    <w:rsid w:val="00CF4447"/>
    <w:rsid w:val="00D405E7"/>
    <w:rsid w:val="00D41D56"/>
    <w:rsid w:val="00D6260D"/>
    <w:rsid w:val="00D6662B"/>
    <w:rsid w:val="00D95E2F"/>
    <w:rsid w:val="00D9682A"/>
    <w:rsid w:val="00D970A9"/>
    <w:rsid w:val="00DB3AC0"/>
    <w:rsid w:val="00DC6813"/>
    <w:rsid w:val="00DE68F0"/>
    <w:rsid w:val="00DF3845"/>
    <w:rsid w:val="00DF7E17"/>
    <w:rsid w:val="00E8560E"/>
    <w:rsid w:val="00EB00A2"/>
    <w:rsid w:val="00EB08C7"/>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10D34-69C9-41EE-A282-9417AA0E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5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85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D5853"/>
    <w:rPr>
      <w:sz w:val="16"/>
      <w:szCs w:val="16"/>
    </w:rPr>
  </w:style>
  <w:style w:type="paragraph" w:styleId="CommentText">
    <w:name w:val="annotation text"/>
    <w:basedOn w:val="Normal"/>
    <w:link w:val="CommentTextChar"/>
    <w:uiPriority w:val="99"/>
    <w:semiHidden/>
    <w:unhideWhenUsed/>
    <w:rsid w:val="000D5853"/>
    <w:rPr>
      <w:sz w:val="20"/>
    </w:rPr>
  </w:style>
  <w:style w:type="character" w:customStyle="1" w:styleId="CommentTextChar">
    <w:name w:val="Comment Text Char"/>
    <w:basedOn w:val="DefaultParagraphFont"/>
    <w:link w:val="CommentText"/>
    <w:uiPriority w:val="99"/>
    <w:semiHidden/>
    <w:rsid w:val="000D585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853"/>
    <w:rPr>
      <w:b/>
      <w:bCs/>
    </w:rPr>
  </w:style>
  <w:style w:type="character" w:customStyle="1" w:styleId="CommentSubjectChar">
    <w:name w:val="Comment Subject Char"/>
    <w:basedOn w:val="CommentTextChar"/>
    <w:link w:val="CommentSubject"/>
    <w:uiPriority w:val="99"/>
    <w:semiHidden/>
    <w:rsid w:val="000D5853"/>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76C5-952A-40FA-B9C7-27F0A959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6</Pages>
  <Words>1662</Words>
  <Characters>8606</Characters>
  <Application>Microsoft Office Word</Application>
  <DocSecurity>0</DocSecurity>
  <Lines>221</Lines>
  <Paragraphs>50</Paragraphs>
  <ScaleCrop>false</ScaleCrop>
  <HeadingPairs>
    <vt:vector size="2" baseType="variant">
      <vt:variant>
        <vt:lpstr>Title</vt:lpstr>
      </vt:variant>
      <vt:variant>
        <vt:i4>1</vt:i4>
      </vt:variant>
    </vt:vector>
  </HeadingPairs>
  <TitlesOfParts>
    <vt:vector size="1" baseType="lpstr">
      <vt:lpstr>2015-2016 Bill 1126 Text of Previous Version (Feb. 25, 2016) - South Carolina Legislature Online</vt:lpstr>
    </vt:vector>
  </TitlesOfParts>
  <Company> </Company>
  <LinksUpToDate>false</LinksUpToDate>
  <CharactersWithSpaces>10273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1126 Text of Previous Version (Apr. 13, 2016) - South Carolina Legislature Online</dc:title>
  <dc:subject/>
  <dc:creator>MarthaSanders</dc:creator>
  <cp:keywords/>
  <dc:description/>
  <cp:lastModifiedBy>Miriam Cook</cp:lastModifiedBy>
  <cp:revision>2</cp:revision>
  <cp:lastPrinted>2016-02-25T20:40:00Z</cp:lastPrinted>
  <dcterms:created xsi:type="dcterms:W3CDTF">2016-04-14T00:14:00Z</dcterms:created>
  <dcterms:modified xsi:type="dcterms:W3CDTF">2016-04-14T00:14:00Z</dcterms:modified>
</cp:coreProperties>
</file>