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5D5"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2EC6" w:rsidRP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20, 2016</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Pr="00502EC6" w:rsidRDefault="00502EC6" w:rsidP="00502EC6">
      <w:pPr>
        <w:tabs>
          <w:tab w:val="right" w:pos="5933"/>
        </w:tabs>
        <w:suppressAutoHyphens/>
        <w:jc w:val="both"/>
        <w:rPr>
          <w:rFonts w:eastAsia="Times New Roman"/>
        </w:rPr>
      </w:pPr>
      <w:r>
        <w:rPr>
          <w:rFonts w:eastAsia="Times New Roman"/>
        </w:rPr>
        <w:tab/>
      </w:r>
      <w:r>
        <w:rPr>
          <w:rFonts w:eastAsia="Times New Roman"/>
          <w:b/>
          <w:sz w:val="36"/>
        </w:rPr>
        <w:t>S. 1127</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C47D1">
        <w:t>Senator Cleary</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A05447">
      <w:pPr>
        <w:tabs>
          <w:tab w:val="right" w:pos="5933"/>
        </w:tabs>
        <w:suppressAutoHyphens/>
        <w:jc w:val="both"/>
        <w:rPr>
          <w:rFonts w:eastAsia="Times New Roman"/>
        </w:rPr>
      </w:pPr>
      <w:r>
        <w:rPr>
          <w:rFonts w:eastAsia="Times New Roman"/>
        </w:rPr>
        <w:t>S. Printed 4/20/16--S.</w:t>
      </w:r>
      <w:r w:rsidR="00A05447">
        <w:rPr>
          <w:rFonts w:eastAsia="Times New Roman"/>
        </w:rPr>
        <w:tab/>
        <w:t>[SEC 4/21/16 5:05 PM]</w:t>
      </w:r>
    </w:p>
    <w:p w:rsidR="00502EC6" w:rsidRDefault="002E3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w:t>
      </w:r>
      <w:r w:rsidR="00502EC6">
        <w:rPr>
          <w:rFonts w:eastAsia="Times New Roman"/>
        </w:rPr>
        <w:t>, 2016.</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1127) to amend Section 15</w:t>
      </w:r>
      <w:r>
        <w:rPr>
          <w:rFonts w:eastAsia="Times New Roman"/>
        </w:rPr>
        <w:noBreakHyphen/>
        <w:t>41</w:t>
      </w:r>
      <w:r>
        <w:rPr>
          <w:rFonts w:eastAsia="Times New Roman"/>
        </w:rPr>
        <w:noBreakHyphen/>
        <w:t>30, as amended, Code of Laws of South Carolina, 1976, relating to an individual retirement account being exempt from attachment, levy, etc., respectfully</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2EC6">
        <w:rPr>
          <w:rFonts w:eastAsia="Times New Roman"/>
          <w:b/>
          <w:szCs w:val="20"/>
        </w:rPr>
        <w:t>Fiscal Impact Summary</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2EC6">
        <w:rPr>
          <w:rFonts w:eastAsia="Times New Roman"/>
        </w:rPr>
        <w:tab/>
        <w:t xml:space="preserve">This bill will have no expenditure impact on the general fund, federal funds, or other funds.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02EC6">
        <w:rPr>
          <w:rFonts w:eastAsia="Times New Roman"/>
          <w:b/>
          <w:szCs w:val="20"/>
        </w:rPr>
        <w:t>Explanation of Fiscal Impact</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02EC6">
        <w:rPr>
          <w:rFonts w:eastAsia="Times New Roman"/>
          <w:b/>
          <w:szCs w:val="20"/>
        </w:rPr>
        <w:t>State Expenditure</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502EC6">
        <w:rPr>
          <w:rFonts w:cstheme="minorBidi"/>
        </w:rPr>
        <w:tab/>
        <w:t xml:space="preserve">This bill amends Section 15-41-30 to allow a debtor’s Individual Retirement Account (IRA) to be exempt from a creditor’s attachment, levy and sale. A claimed exemption may be reduced or eliminated by the amount of a fraudulent conveyance into the IRA. </w:t>
      </w:r>
    </w:p>
    <w:p w:rsidR="00502EC6" w:rsidRPr="00502EC6" w:rsidRDefault="00502EC6" w:rsidP="00502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highlight w:val="yellow"/>
        </w:rPr>
      </w:pPr>
      <w:r w:rsidRPr="006C4D71">
        <w:rPr>
          <w:rFonts w:cstheme="minorBidi"/>
          <w:b/>
        </w:rPr>
        <w:t>Department of Revenue.</w:t>
      </w:r>
      <w:r w:rsidRPr="00502EC6">
        <w:rPr>
          <w:rFonts w:cstheme="minorBidi"/>
        </w:rPr>
        <w:t xml:space="preserve"> The department indicates this bill will have no expenditure impact on the general fund, federal funds, or other funds.</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2EC6" w:rsidRP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2EC6" w:rsidRDefault="00502E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75D5" w:rsidRDefault="00447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75D5" w:rsidSect="004475D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2777" w:rsidRDefault="009E27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F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12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D1282">
        <w:rPr>
          <w:rFonts w:eastAsia="Times New Roman"/>
        </w:rPr>
        <w:t>TO AMEND SECTION 15</w:t>
      </w:r>
      <w:r w:rsidRPr="000D1282">
        <w:rPr>
          <w:rFonts w:eastAsia="Times New Roman"/>
        </w:rPr>
        <w:noBreakHyphen/>
        <w:t>41</w:t>
      </w:r>
      <w:r w:rsidRPr="000D1282">
        <w:rPr>
          <w:rFonts w:eastAsia="Times New Roman"/>
        </w:rPr>
        <w:noBreakHyphen/>
        <w:t>30, AS AMENDED, CODE OF LAWS OF SOUTH CAROLINA, 1976, RELATING TO AN INDIVIDUAL RETIREMENT ACCOUNT BEING EXEMPT FROM ATTACHMENT, LEVY, AND SALE, SO AS TO DELETE THE PROVISION THAT THE EXEMPTION APPLIES ONLY TO THE EXTENT THAT IS PERMITTED IN SECTION 522(d) OF THE FEDERAL BANKRUPTCY CODE.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F18" w:rsidRDefault="00817F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SECTION</w:t>
      </w:r>
      <w:r w:rsidRPr="00993E95">
        <w:rPr>
          <w:color w:val="000000" w:themeColor="text1"/>
          <w:u w:color="000000" w:themeColor="text1"/>
        </w:rPr>
        <w:tab/>
        <w:t>1.</w:t>
      </w:r>
      <w:r w:rsidRPr="00993E95">
        <w:rPr>
          <w:color w:val="000000" w:themeColor="text1"/>
          <w:u w:color="000000" w:themeColor="text1"/>
        </w:rPr>
        <w:tab/>
        <w:t>Section 15</w:t>
      </w:r>
      <w:r w:rsidRPr="00993E95">
        <w:rPr>
          <w:color w:val="000000" w:themeColor="text1"/>
          <w:u w:color="000000" w:themeColor="text1"/>
        </w:rPr>
        <w:noBreakHyphen/>
        <w:t>41</w:t>
      </w:r>
      <w:r w:rsidRPr="00993E95">
        <w:rPr>
          <w:color w:val="000000" w:themeColor="text1"/>
          <w:u w:color="000000" w:themeColor="text1"/>
        </w:rPr>
        <w:noBreakHyphen/>
        <w:t>30(A)(13) of the 1976 Code, as last amended by Act 153 of 2012, is further amended to read:</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3E95">
        <w:rPr>
          <w:color w:val="000000" w:themeColor="text1"/>
          <w:u w:color="000000" w:themeColor="text1"/>
        </w:rPr>
        <w:tab/>
        <w:t>“(13)</w:t>
      </w:r>
      <w:r w:rsidRPr="00993E95">
        <w:rPr>
          <w:color w:val="000000" w:themeColor="text1"/>
          <w:u w:color="000000" w:themeColor="text1"/>
        </w:rPr>
        <w:tab/>
        <w:t>The debtor’s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A claimed exemption may be reduced or eliminated by the amount of a fraudulent conveyance into the individual retirement account or other pla</w:t>
      </w:r>
      <w:r w:rsidR="00A05447">
        <w:rPr>
          <w:color w:val="000000" w:themeColor="text1"/>
          <w:u w:color="000000" w:themeColor="text1"/>
        </w:rPr>
        <w:t>n.  For purposes of this item, ‘Internal Revenue Code’</w:t>
      </w:r>
      <w:r w:rsidRPr="00993E95">
        <w:rPr>
          <w:color w:val="000000" w:themeColor="text1"/>
          <w:u w:color="000000" w:themeColor="text1"/>
        </w:rPr>
        <w:t xml:space="preserve"> has the meaning provided in Section 12</w:t>
      </w:r>
      <w:r w:rsidRPr="00993E95">
        <w:rPr>
          <w:color w:val="000000" w:themeColor="text1"/>
          <w:u w:color="000000" w:themeColor="text1"/>
        </w:rPr>
        <w:noBreakHyphen/>
        <w:t>6</w:t>
      </w:r>
      <w:r w:rsidRPr="00993E95">
        <w:rPr>
          <w:color w:val="000000" w:themeColor="text1"/>
          <w:u w:color="000000" w:themeColor="text1"/>
        </w:rPr>
        <w:noBreakHyphen/>
        <w:t xml:space="preserve">40(A).  The interest of an individual under a retirement plan shall be exempt from creditor process </w:t>
      </w:r>
      <w:r w:rsidRPr="00993E95">
        <w:rPr>
          <w:strike/>
          <w:color w:val="000000" w:themeColor="text1"/>
          <w:u w:color="000000" w:themeColor="text1"/>
        </w:rPr>
        <w:t>to the same extent permitted in Section 522(d) under federal bankruptcy law</w:t>
      </w:r>
      <w:r w:rsidRPr="00993E95">
        <w:rPr>
          <w:color w:val="000000" w:themeColor="text1"/>
          <w:u w:color="000000" w:themeColor="text1"/>
        </w:rPr>
        <w:t xml:space="preserve"> and is an exception to Section 15</w:t>
      </w:r>
      <w:r w:rsidRPr="00993E95">
        <w:rPr>
          <w:color w:val="000000" w:themeColor="text1"/>
          <w:u w:color="000000" w:themeColor="text1"/>
        </w:rPr>
        <w:noBreakHyphen/>
        <w:t>41</w:t>
      </w:r>
      <w:r w:rsidRPr="00993E95">
        <w:rPr>
          <w:color w:val="000000" w:themeColor="text1"/>
          <w:u w:color="000000" w:themeColor="text1"/>
        </w:rPr>
        <w:noBreakHyphen/>
        <w:t>35.  The exemption provided by this section shall be available whether such individual has an interest in the retirement plan as a participant, beneficiary, contingent annuitant, alternate payee, or otherwise.”</w:t>
      </w:r>
    </w:p>
    <w:p w:rsidR="000D1282" w:rsidRPr="00993E95"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7F18" w:rsidRDefault="000D1282" w:rsidP="000D1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93E95">
        <w:rPr>
          <w:color w:val="000000" w:themeColor="text1"/>
          <w:u w:color="000000" w:themeColor="text1"/>
        </w:rPr>
        <w:t>SECTION</w:t>
      </w:r>
      <w:r w:rsidRPr="00993E95">
        <w:rPr>
          <w:color w:val="000000" w:themeColor="text1"/>
          <w:u w:color="000000" w:themeColor="text1"/>
        </w:rPr>
        <w:tab/>
        <w:t>2.</w:t>
      </w:r>
      <w:r w:rsidRPr="00993E95">
        <w:rPr>
          <w:color w:val="000000" w:themeColor="text1"/>
          <w:u w:color="000000" w:themeColor="text1"/>
        </w:rPr>
        <w:tab/>
        <w:t>This act takes effect upon approval by the Governor.</w:t>
      </w:r>
    </w:p>
    <w:p w:rsidR="00822A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E5E" w:rsidRDefault="00401E5E" w:rsidP="00401E5E">
      <w:pPr>
        <w:suppressAutoHyphens/>
        <w:jc w:val="both"/>
        <w:rPr>
          <w:rFonts w:eastAsia="Times New Roman"/>
        </w:rPr>
      </w:pPr>
    </w:p>
    <w:sectPr w:rsidR="00401E5E" w:rsidSect="004475D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F18" w:rsidRDefault="00817F18" w:rsidP="00522CE0">
      <w:r>
        <w:separator/>
      </w:r>
    </w:p>
  </w:endnote>
  <w:endnote w:type="continuationSeparator" w:id="0">
    <w:p w:rsidR="00817F18" w:rsidRDefault="00817F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959E93-A3E0-4FAF-9C44-F969E014BB9D}"/>
    <w:embedBold r:id="rId2" w:fontKey="{E2B3F336-1FEA-4B63-9151-3829F46CC004}"/>
  </w:font>
  <w:font w:name="Calibri">
    <w:panose1 w:val="020F0502020204030204"/>
    <w:charset w:val="00"/>
    <w:family w:val="swiss"/>
    <w:pitch w:val="variable"/>
    <w:sig w:usb0="E00002FF" w:usb1="4000ACFF" w:usb2="00000001" w:usb3="00000000" w:csb0="0000019F" w:csb1="00000000"/>
    <w:embedRegular r:id="rId3" w:fontKey="{FEEFE4DA-E8EF-4007-9A4A-2790FDDB94AC}"/>
    <w:embedBold r:id="rId4" w:fontKey="{86921E0E-4C09-4306-B6FB-221F0E3BF99E}"/>
  </w:font>
  <w:font w:name="Cambria">
    <w:panose1 w:val="02040503050406030204"/>
    <w:charset w:val="00"/>
    <w:family w:val="roman"/>
    <w:pitch w:val="variable"/>
    <w:sig w:usb0="E00002FF" w:usb1="400004FF" w:usb2="00000000" w:usb3="00000000" w:csb0="0000019F" w:csb1="00000000"/>
    <w:embedRegular r:id="rId5" w:fontKey="{1FB79151-C476-48F8-B1A3-FDA5D78B1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AEE" w:rsidRPr="009E2777" w:rsidRDefault="009E2777" w:rsidP="009E2777">
    <w:pPr>
      <w:pStyle w:val="Footer"/>
      <w:tabs>
        <w:tab w:val="clear" w:pos="4680"/>
        <w:tab w:val="clear" w:pos="9360"/>
        <w:tab w:val="center" w:pos="2995"/>
      </w:tabs>
      <w:spacing w:before="120"/>
    </w:pPr>
    <w:r>
      <w:t>[1127</w:t>
    </w:r>
    <w:r w:rsidR="004475D5">
      <w:t>-</w:t>
    </w:r>
    <w:r w:rsidR="004475D5">
      <w:fldChar w:fldCharType="begin"/>
    </w:r>
    <w:r w:rsidR="004475D5">
      <w:instrText xml:space="preserve"> PAGE  \* MERGEFORMAT </w:instrText>
    </w:r>
    <w:r w:rsidR="004475D5">
      <w:fldChar w:fldCharType="separate"/>
    </w:r>
    <w:r w:rsidR="00A05447">
      <w:rPr>
        <w:noProof/>
      </w:rPr>
      <w:t>1</w:t>
    </w:r>
    <w:r w:rsidR="004475D5">
      <w:fldChar w:fldCharType="end"/>
    </w:r>
    <w:r w:rsidR="004475D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5D5" w:rsidRPr="009E2777" w:rsidRDefault="004475D5" w:rsidP="009E2777">
    <w:pPr>
      <w:pStyle w:val="Footer"/>
      <w:tabs>
        <w:tab w:val="clear" w:pos="4680"/>
        <w:tab w:val="clear" w:pos="9360"/>
        <w:tab w:val="center" w:pos="2995"/>
      </w:tabs>
      <w:spacing w:before="120"/>
    </w:pPr>
    <w:r>
      <w:t>[1127]</w:t>
    </w:r>
    <w:r>
      <w:tab/>
    </w:r>
    <w:r>
      <w:fldChar w:fldCharType="begin"/>
    </w:r>
    <w:r>
      <w:instrText xml:space="preserve"> PAGE  \* MERGEFORMAT </w:instrText>
    </w:r>
    <w:r>
      <w:fldChar w:fldCharType="separate"/>
    </w:r>
    <w:r w:rsidR="00401E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F18" w:rsidRDefault="00817F18" w:rsidP="00522CE0">
      <w:r>
        <w:separator/>
      </w:r>
    </w:p>
  </w:footnote>
  <w:footnote w:type="continuationSeparator" w:id="0">
    <w:p w:rsidR="00817F18" w:rsidRDefault="00817F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6.KW"/>
    <w:docVar w:name="CoverAttorneyInitials" w:val="KW"/>
    <w:docVar w:name="CoverAttorneyLastName" w:val="Wells"/>
    <w:docVar w:name="CoverBillType" w:val="b"/>
    <w:docVar w:name="DraftFileName" w:val="JUD0096.KW.DOCX"/>
    <w:docVar w:name="DraftStenoName" w:val="Knipp"/>
    <w:docVar w:name="dvBillNumber" w:val="1127"/>
    <w:docVar w:name="dvBillNumberPrefix" w:val="S. "/>
    <w:docVar w:name="dvOriginalBody" w:val="Senate"/>
    <w:docVar w:name="fulldraftpath" w:val="L:\S-JUD\BILLS\Cleary\JUD0096.KW.DOCX"/>
    <w:docVar w:name="NameofBody" w:val="S"/>
    <w:docVar w:name="SenatorFolderName" w:val="Cleary"/>
    <w:docVar w:name="VGROUP2" w:val="S-JUD"/>
  </w:docVars>
  <w:rsids>
    <w:rsidRoot w:val="00817F18"/>
    <w:rsid w:val="000141EB"/>
    <w:rsid w:val="00042AC1"/>
    <w:rsid w:val="00046516"/>
    <w:rsid w:val="000A4D08"/>
    <w:rsid w:val="000A6988"/>
    <w:rsid w:val="000B0720"/>
    <w:rsid w:val="000B3855"/>
    <w:rsid w:val="000B5EAF"/>
    <w:rsid w:val="000D1282"/>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3C09"/>
    <w:rsid w:val="00307C2B"/>
    <w:rsid w:val="0031409E"/>
    <w:rsid w:val="0032109A"/>
    <w:rsid w:val="00333DF1"/>
    <w:rsid w:val="0033541C"/>
    <w:rsid w:val="00364389"/>
    <w:rsid w:val="003D6A5D"/>
    <w:rsid w:val="003D6E2B"/>
    <w:rsid w:val="003E7597"/>
    <w:rsid w:val="00401E5E"/>
    <w:rsid w:val="00412C9E"/>
    <w:rsid w:val="0042257B"/>
    <w:rsid w:val="004475D5"/>
    <w:rsid w:val="00450668"/>
    <w:rsid w:val="00452CD7"/>
    <w:rsid w:val="00477696"/>
    <w:rsid w:val="004952FA"/>
    <w:rsid w:val="004A05F7"/>
    <w:rsid w:val="004A592F"/>
    <w:rsid w:val="004B6A22"/>
    <w:rsid w:val="004C2918"/>
    <w:rsid w:val="004D168C"/>
    <w:rsid w:val="004D6923"/>
    <w:rsid w:val="004D7F37"/>
    <w:rsid w:val="004F607A"/>
    <w:rsid w:val="00502EC6"/>
    <w:rsid w:val="0051584C"/>
    <w:rsid w:val="00520D79"/>
    <w:rsid w:val="00522CE0"/>
    <w:rsid w:val="00525DCD"/>
    <w:rsid w:val="00541FF6"/>
    <w:rsid w:val="00542AA7"/>
    <w:rsid w:val="00565148"/>
    <w:rsid w:val="00581497"/>
    <w:rsid w:val="00586B30"/>
    <w:rsid w:val="0058748C"/>
    <w:rsid w:val="00593361"/>
    <w:rsid w:val="005A5017"/>
    <w:rsid w:val="005A648C"/>
    <w:rsid w:val="005F15E4"/>
    <w:rsid w:val="00600221"/>
    <w:rsid w:val="00606D23"/>
    <w:rsid w:val="00641A16"/>
    <w:rsid w:val="006431BA"/>
    <w:rsid w:val="006B4B3C"/>
    <w:rsid w:val="006C4D71"/>
    <w:rsid w:val="006C74EA"/>
    <w:rsid w:val="00720D40"/>
    <w:rsid w:val="0073026D"/>
    <w:rsid w:val="007311B4"/>
    <w:rsid w:val="007318D4"/>
    <w:rsid w:val="00746551"/>
    <w:rsid w:val="00765784"/>
    <w:rsid w:val="007A4390"/>
    <w:rsid w:val="007C65B0"/>
    <w:rsid w:val="007E3B8F"/>
    <w:rsid w:val="007E5CB7"/>
    <w:rsid w:val="00814EED"/>
    <w:rsid w:val="00817F18"/>
    <w:rsid w:val="00822AEE"/>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6FD3"/>
    <w:rsid w:val="009E2777"/>
    <w:rsid w:val="00A02011"/>
    <w:rsid w:val="00A05447"/>
    <w:rsid w:val="00A35165"/>
    <w:rsid w:val="00A4011E"/>
    <w:rsid w:val="00A41565"/>
    <w:rsid w:val="00A86015"/>
    <w:rsid w:val="00AE59C8"/>
    <w:rsid w:val="00B030B6"/>
    <w:rsid w:val="00B10098"/>
    <w:rsid w:val="00B10E10"/>
    <w:rsid w:val="00B11C6C"/>
    <w:rsid w:val="00B35389"/>
    <w:rsid w:val="00B43327"/>
    <w:rsid w:val="00B450FF"/>
    <w:rsid w:val="00B47304"/>
    <w:rsid w:val="00B66C95"/>
    <w:rsid w:val="00B67A46"/>
    <w:rsid w:val="00B945C5"/>
    <w:rsid w:val="00BA20EA"/>
    <w:rsid w:val="00BB754E"/>
    <w:rsid w:val="00BC0A56"/>
    <w:rsid w:val="00C16DA2"/>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2A6C84B-6641-4046-8CDB-E14AC142A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56D0AB6E.dotm</Template>
  <TotalTime>0</TotalTime>
  <Pages>3</Pages>
  <Words>446</Words>
  <Characters>2365</Characters>
  <Application>Microsoft Office Word</Application>
  <DocSecurity>0</DocSecurity>
  <Lines>86</Lines>
  <Paragraphs>29</Paragraphs>
  <ScaleCrop>false</ScaleCrop>
  <Company> </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1127 Text of Previous Version (Apr. 21, 2016) - South Carolina Legislature Online</dc:title>
  <dc:subject/>
  <dc:creator>LindseyKnipp</dc:creator>
  <cp:keywords/>
  <dc:description/>
  <cp:lastModifiedBy>Lavarres Lynch</cp:lastModifiedBy>
  <cp:revision>2</cp:revision>
  <dcterms:created xsi:type="dcterms:W3CDTF">2016-04-21T21:06:00Z</dcterms:created>
  <dcterms:modified xsi:type="dcterms:W3CDTF">2016-04-21T21:06:00Z</dcterms:modified>
</cp:coreProperties>
</file>