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003E1A0C">
        <w:rPr>
          <w:u w:color="000000" w:themeColor="text1"/>
        </w:rPr>
        <w:noBreakHyphen/>
      </w:r>
      <w:r w:rsidRPr="000D6AED">
        <w:rPr>
          <w:u w:color="000000" w:themeColor="text1"/>
        </w:rPr>
        <w:t>39</w:t>
      </w:r>
      <w:r w:rsidR="003E1A0C">
        <w:rPr>
          <w:u w:color="000000" w:themeColor="text1"/>
        </w:rPr>
        <w:noBreakHyphen/>
      </w:r>
      <w:r w:rsidRPr="000D6AED">
        <w:rPr>
          <w:u w:color="000000" w:themeColor="text1"/>
        </w:rPr>
        <w:t>130(D)(1)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rPr>
          <w:u w:color="000000" w:themeColor="text1"/>
        </w:rPr>
        <w:tab/>
        <w:t>“</w:t>
      </w:r>
      <w:r w:rsidR="00674F16">
        <w:rPr>
          <w:u w:color="000000" w:themeColor="text1"/>
        </w:rPr>
        <w:t>(D)</w:t>
      </w:r>
      <w:r w:rsidRPr="000D6AED">
        <w:rPr>
          <w:u w:color="000000" w:themeColor="text1"/>
        </w:rPr>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6AED">
        <w:tab/>
      </w:r>
      <w:r w:rsidRPr="000D6AED">
        <w:tab/>
      </w:r>
      <w:r w:rsidRPr="000D6AED">
        <w:rPr>
          <w:u w:val="single"/>
        </w:rPr>
        <w:t>(b)</w:t>
      </w:r>
      <w:r w:rsidRPr="000D6AED">
        <w:tab/>
      </w:r>
      <w:r w:rsidRPr="000D6AED">
        <w:rPr>
          <w:u w:val="single"/>
        </w:rPr>
        <w:t>sand scraping;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(c)</w:t>
      </w:r>
      <w:r w:rsidRPr="000D6AED">
        <w:tab/>
      </w:r>
      <w:r w:rsidRPr="000D6AED">
        <w:rPr>
          <w:u w:val="single"/>
        </w:rPr>
        <w:t>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Pr>
          <w:u w:val="single"/>
        </w:rPr>
        <w:t xml:space="preserve">Section </w:t>
      </w:r>
      <w:r w:rsidRPr="000D6AED">
        <w:rPr>
          <w:u w:val="single"/>
        </w:rPr>
        <w:t>48</w:t>
      </w:r>
      <w:r w:rsidR="003E1A0C">
        <w:rPr>
          <w:u w:val="single"/>
        </w:rPr>
        <w:noBreakHyphen/>
      </w:r>
      <w:r w:rsidRPr="000D6AED">
        <w:rPr>
          <w:u w:val="single"/>
        </w:rPr>
        <w:t>39</w:t>
      </w:r>
      <w:r w:rsidR="003E1A0C">
        <w:rPr>
          <w:u w:val="single"/>
        </w:rPr>
        <w:noBreakHyphen/>
      </w:r>
      <w:r w:rsidRPr="000D6AED">
        <w:rPr>
          <w:u w:val="single"/>
        </w:rPr>
        <w:t>320(C), provided that a bond is supplied to reasonably estimate and cover the cost of removal; 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2</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w:t>
      </w:r>
      <w:r w:rsidRPr="000D6AED">
        <w:rPr>
          <w:color w:val="000000" w:themeColor="text1"/>
          <w:u w:color="000000" w:themeColor="text1"/>
        </w:rPr>
        <w:tab/>
      </w:r>
      <w:r w:rsidRPr="00546741">
        <w:rPr>
          <w:u w:color="000000" w:themeColor="text1"/>
        </w:rPr>
        <w:t>(A)</w:t>
      </w:r>
      <w:r w:rsidRPr="00546741">
        <w:rPr>
          <w:u w:color="000000" w:themeColor="text1"/>
        </w:rPr>
        <w:tab/>
        <w:t>A forty</w:t>
      </w:r>
      <w:r w:rsidR="003E1A0C">
        <w:rPr>
          <w:u w:color="000000" w:themeColor="text1"/>
        </w:rPr>
        <w:noBreakHyphen/>
      </w:r>
      <w:r w:rsidRPr="00546741">
        <w:rPr>
          <w:u w:color="000000" w:themeColor="text1"/>
        </w:rPr>
        <w:t xml:space="preserve">year policy of retreat from the shoreline is established. The department </w:t>
      </w:r>
      <w:r w:rsidRPr="0061561E">
        <w:rPr>
          <w:u w:color="000000" w:themeColor="text1"/>
        </w:rPr>
        <w:t>must</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61561E">
        <w:rPr>
          <w:u w:color="000000" w:themeColor="text1"/>
        </w:rPr>
        <w:t>must</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003E1A0C">
        <w:rPr>
          <w:u w:val="single" w:color="000000" w:themeColor="text1"/>
        </w:rPr>
        <w:noBreakHyphen/>
      </w:r>
      <w:r w:rsidRPr="00546741">
        <w:rPr>
          <w:u w:val="single" w:color="000000" w:themeColor="text1"/>
        </w:rPr>
        <w:t>39</w:t>
      </w:r>
      <w:r w:rsidR="003E1A0C">
        <w:rPr>
          <w:u w:val="single" w:color="000000" w:themeColor="text1"/>
        </w:rPr>
        <w:noBreakHyphen/>
      </w:r>
      <w:r w:rsidRPr="00546741">
        <w:rPr>
          <w:u w:val="single" w:color="000000" w:themeColor="text1"/>
        </w:rPr>
        <w:t xml:space="preserve">290(D), the baseline established pursuant to this section must not move seaward from its position on July 1, </w:t>
      </w:r>
      <w:r w:rsidR="004E4276">
        <w:rPr>
          <w:u w:val="single" w:color="000000" w:themeColor="text1"/>
        </w:rPr>
        <w:t>2015</w:t>
      </w:r>
      <w:r w:rsidRPr="00546741">
        <w:rPr>
          <w:u w:val="single"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w:t>
      </w:r>
      <w:r w:rsidRPr="000D6AED">
        <w:rPr>
          <w:color w:val="000000" w:themeColor="text1"/>
          <w:u w:color="000000" w:themeColor="text1"/>
        </w:rPr>
        <w:lastRenderedPageBreak/>
        <w:t>data, as where the crest of the primary oceanfront sand dunes for that zone would be located if the shoreline had not been altered.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003E1A0C">
        <w:rPr>
          <w:strike/>
          <w:color w:val="000000" w:themeColor="text1"/>
          <w:u w:color="000000" w:themeColor="text1"/>
        </w:rPr>
        <w:noBreakHyphen/>
      </w:r>
      <w:r w:rsidRPr="000D6AE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3E1A0C">
        <w:rPr>
          <w:strike/>
          <w:color w:val="000000" w:themeColor="text1"/>
          <w:u w:color="000000" w:themeColor="text1"/>
        </w:rPr>
        <w:noBreakHyphen/>
      </w:r>
      <w:r w:rsidRPr="000D6AED">
        <w:rPr>
          <w:strike/>
          <w:color w:val="000000" w:themeColor="text1"/>
          <w:u w:color="000000" w:themeColor="text1"/>
        </w:rPr>
        <w:t>39</w:t>
      </w:r>
      <w:r w:rsidR="003E1A0C">
        <w:rPr>
          <w:strike/>
          <w:color w:val="000000" w:themeColor="text1"/>
          <w:u w:color="000000" w:themeColor="text1"/>
        </w:rPr>
        <w:noBreakHyphen/>
      </w:r>
      <w:r w:rsidRPr="000D6AED">
        <w:rPr>
          <w:strike/>
          <w:color w:val="000000" w:themeColor="text1"/>
          <w:u w:color="000000" w:themeColor="text1"/>
        </w:rPr>
        <w:t>280(A)(1) by showing that the beach has been stabilized by department</w:t>
      </w:r>
      <w:r w:rsidR="003E1A0C">
        <w:rPr>
          <w:strike/>
          <w:color w:val="000000" w:themeColor="text1"/>
          <w:u w:color="000000" w:themeColor="text1"/>
        </w:rPr>
        <w:noBreakHyphen/>
      </w:r>
      <w:r w:rsidRPr="000D6AE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w:t>
      </w:r>
      <w:r w:rsidR="00AF0E46">
        <w:rPr>
          <w:strike/>
          <w:color w:val="000000" w:themeColor="text1"/>
          <w:u w:color="000000" w:themeColor="text1"/>
        </w:rPr>
        <w:t>ide for the foreseeable future.</w:t>
      </w:r>
      <w:r w:rsidRPr="000D6AED">
        <w:rPr>
          <w:strike/>
          <w:color w:val="000000" w:themeColor="text1"/>
          <w:u w:color="000000" w:themeColor="text1"/>
        </w:rPr>
        <w:t xml:space="preserv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w:t>
      </w:r>
      <w:r w:rsidR="00AF0E46">
        <w:rPr>
          <w:strike/>
          <w:color w:val="000000" w:themeColor="text1"/>
          <w:u w:color="000000" w:themeColor="text1"/>
        </w:rPr>
        <w:t xml:space="preserve">etermined by the department. </w:t>
      </w:r>
      <w:r w:rsidRPr="000D6AED">
        <w:rPr>
          <w:strike/>
          <w:color w:val="000000" w:themeColor="text1"/>
          <w:u w:color="000000" w:themeColor="text1"/>
        </w:rPr>
        <w:t xml:space="preserve">If the beach nourishment fails to stabilize the beach after a reasonable period of time, the department must move the baseline landward to the primary oceanfront sand dune as determined pursuant to items </w:t>
      </w:r>
      <w:r w:rsidRPr="000D6AED">
        <w:rPr>
          <w:strike/>
          <w:color w:val="000000" w:themeColor="text1"/>
          <w:u w:color="000000" w:themeColor="text1"/>
        </w:rPr>
        <w:lastRenderedPageBreak/>
        <w:t xml:space="preserve">(1), (2), and (3) </w:t>
      </w:r>
      <w:r w:rsidR="00AF0E46">
        <w:rPr>
          <w:strike/>
          <w:color w:val="000000" w:themeColor="text1"/>
          <w:u w:color="000000" w:themeColor="text1"/>
        </w:rPr>
        <w:t xml:space="preserve">for that section of the beach. </w:t>
      </w:r>
      <w:r w:rsidRPr="000D6AED">
        <w:rPr>
          <w:strike/>
          <w:color w:val="000000" w:themeColor="text1"/>
          <w:u w:color="000000" w:themeColor="text1"/>
        </w:rPr>
        <w:t>Any appeal of an administrative law judge</w:t>
      </w:r>
      <w:r w:rsidR="003E1A0C" w:rsidRPr="003E1A0C">
        <w:rPr>
          <w:strike/>
          <w:color w:val="000000" w:themeColor="text1"/>
          <w:u w:color="000000" w:themeColor="text1"/>
        </w:rPr>
        <w:t>’</w:t>
      </w:r>
      <w:r w:rsidRPr="000D6AED">
        <w:rPr>
          <w:strike/>
          <w:color w:val="000000" w:themeColor="text1"/>
          <w:u w:color="000000" w:themeColor="text1"/>
        </w:rPr>
        <w:t>s decision under this section may be made pur</w:t>
      </w:r>
      <w:r w:rsidR="00AF0E46">
        <w:rPr>
          <w:strike/>
          <w:color w:val="000000" w:themeColor="text1"/>
          <w:u w:color="000000" w:themeColor="text1"/>
        </w:rPr>
        <w:t>suant to Title 23 of Chapter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546741">
        <w:rPr>
          <w:u w:color="000000" w:themeColor="text1"/>
        </w:rPr>
        <w:t>(C)</w:t>
      </w:r>
      <w:r w:rsidRPr="00546741">
        <w:rPr>
          <w:u w:color="000000" w:themeColor="text1"/>
        </w:rPr>
        <w:tab/>
        <w:t xml:space="preserve">The department, before July 3, 1991, </w:t>
      </w:r>
      <w:r w:rsidRPr="0061561E">
        <w:rPr>
          <w:u w:color="000000" w:themeColor="text1"/>
        </w:rPr>
        <w:t>must</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546741">
        <w:rPr>
          <w:u w:val="single" w:color="000000" w:themeColor="text1"/>
        </w:rPr>
        <w:t>Nothing in this section allows the seaward movement of</w:t>
      </w:r>
      <w:r w:rsidR="00674F16">
        <w:rPr>
          <w:u w:val="single" w:color="000000" w:themeColor="text1"/>
        </w:rPr>
        <w:t xml:space="preserve"> the baseline after July 1, 20</w:t>
      </w:r>
      <w:r w:rsidR="004E4276">
        <w:rPr>
          <w:u w:val="single" w:color="000000" w:themeColor="text1"/>
        </w:rPr>
        <w:t>15</w:t>
      </w:r>
      <w:r w:rsidRPr="00546741">
        <w:rPr>
          <w:u w:val="single" w:color="000000" w:themeColor="text1"/>
        </w:rPr>
        <w:t>.</w:t>
      </w:r>
      <w:r w:rsidRPr="00546741">
        <w:rPr>
          <w:u w:color="000000" w:themeColor="text1"/>
        </w:rPr>
        <w:t xml:space="preserve"> In the establishment and revision of the baseline and setback line, the department </w:t>
      </w:r>
      <w:r w:rsidRPr="0061561E">
        <w:rPr>
          <w:u w:color="000000" w:themeColor="text1"/>
        </w:rPr>
        <w:t>must</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61561E">
        <w:rPr>
          <w:u w:color="000000" w:themeColor="text1"/>
        </w:rPr>
        <w:t>must</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3E1A0C">
        <w:rPr>
          <w:color w:val="000000" w:themeColor="text1"/>
          <w:u w:color="000000" w:themeColor="text1"/>
        </w:rPr>
        <w:noBreakHyphen/>
      </w:r>
      <w:r w:rsidRPr="000D6AE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3E1A0C">
        <w:rPr>
          <w:color w:val="000000" w:themeColor="text1"/>
          <w:u w:color="000000" w:themeColor="text1"/>
        </w:rPr>
        <w:noBreakHyphen/>
      </w:r>
      <w:r w:rsidRPr="000D6AED">
        <w:rPr>
          <w:color w:val="000000" w:themeColor="text1"/>
          <w:u w:color="000000" w:themeColor="text1"/>
        </w:rPr>
        <w:t xml:space="preserve">year erosion rate. In cases where no primary oceanfront sand dunes exist, a study conducted by the department is required to determine where the upland location of the crest of the primary oceanfront sand dune </w:t>
      </w:r>
      <w:r w:rsidRPr="000D6AED">
        <w:rPr>
          <w:color w:val="000000" w:themeColor="text1"/>
          <w:u w:color="000000" w:themeColor="text1"/>
        </w:rPr>
        <w:lastRenderedPageBreak/>
        <w:t>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3E1A0C">
        <w:rPr>
          <w:color w:val="000000" w:themeColor="text1"/>
          <w:u w:color="000000" w:themeColor="text1"/>
        </w:rPr>
        <w:noBreakHyphen/>
      </w:r>
      <w:r w:rsidRPr="000D6AED">
        <w:rPr>
          <w:color w:val="000000" w:themeColor="text1"/>
          <w:u w:color="000000" w:themeColor="text1"/>
        </w:rPr>
        <w:t>1</w:t>
      </w:r>
      <w:r w:rsidR="003E1A0C">
        <w:rPr>
          <w:color w:val="000000" w:themeColor="text1"/>
          <w:u w:color="000000" w:themeColor="text1"/>
        </w:rPr>
        <w:noBreakHyphen/>
      </w:r>
      <w:r w:rsidRPr="000D6AED">
        <w:rPr>
          <w:color w:val="000000" w:themeColor="text1"/>
          <w:u w:color="000000" w:themeColor="text1"/>
        </w:rPr>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3</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290(A) of the 1976 Code, as last amended by Act 259 of 2011, is further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003E1A0C">
        <w:rPr>
          <w:color w:val="000000" w:themeColor="text1"/>
          <w:u w:color="000000" w:themeColor="text1"/>
        </w:rPr>
        <w:noBreakHyphen/>
      </w:r>
      <w:r w:rsidRPr="000D6AED">
        <w:rPr>
          <w:color w:val="000000" w:themeColor="text1"/>
          <w:u w:color="000000" w:themeColor="text1"/>
        </w:rPr>
        <w:t>four square feet;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003E1A0C">
        <w:rPr>
          <w:color w:val="000000" w:themeColor="text1"/>
          <w:u w:color="000000" w:themeColor="text1"/>
        </w:rPr>
        <w:noBreakHyphen/>
      </w:r>
      <w:r w:rsidRPr="000D6AED">
        <w:rPr>
          <w:color w:val="000000" w:themeColor="text1"/>
          <w:u w:color="000000" w:themeColor="text1"/>
        </w:rPr>
        <w:t>year report.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3E1A0C">
        <w:rPr>
          <w:color w:val="000000" w:themeColor="text1"/>
          <w:u w:color="000000" w:themeColor="text1"/>
        </w:rPr>
        <w:noBreakHyphen/>
      </w:r>
      <w:r w:rsidRPr="000D6AED">
        <w:rPr>
          <w:color w:val="000000" w:themeColor="text1"/>
          <w:u w:color="000000" w:themeColor="text1"/>
        </w:rPr>
        <w:t>five percent of the total surface area of the fishing pier or be constructed at a location further seaward than one</w:t>
      </w:r>
      <w:r w:rsidR="003E1A0C">
        <w:rPr>
          <w:color w:val="000000" w:themeColor="text1"/>
          <w:u w:color="000000" w:themeColor="text1"/>
        </w:rPr>
        <w:noBreakHyphen/>
      </w:r>
      <w:r w:rsidRPr="000D6AED">
        <w:rPr>
          <w:color w:val="000000" w:themeColor="text1"/>
          <w:u w:color="000000" w:themeColor="text1"/>
        </w:rPr>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003E1A0C">
        <w:rPr>
          <w:color w:val="000000" w:themeColor="text1"/>
          <w:u w:val="single"/>
        </w:rPr>
        <w:noBreakHyphen/>
      </w:r>
      <w:r w:rsidRPr="000D6AED">
        <w:rPr>
          <w:color w:val="000000" w:themeColor="text1"/>
          <w:u w:val="single"/>
        </w:rPr>
        <w:t>39</w:t>
      </w:r>
      <w:r w:rsidR="003E1A0C">
        <w:rPr>
          <w:color w:val="000000" w:themeColor="text1"/>
          <w:u w:val="single"/>
        </w:rPr>
        <w:noBreakHyphen/>
      </w:r>
      <w:r w:rsidRPr="000D6AED">
        <w:rPr>
          <w:color w:val="000000" w:themeColor="text1"/>
          <w:u w:val="single"/>
        </w:rPr>
        <w:t>250 through 48</w:t>
      </w:r>
      <w:r w:rsidR="003E1A0C">
        <w:rPr>
          <w:color w:val="000000" w:themeColor="text1"/>
          <w:u w:val="single"/>
        </w:rPr>
        <w:noBreakHyphen/>
      </w:r>
      <w:r>
        <w:rPr>
          <w:color w:val="000000" w:themeColor="text1"/>
          <w:u w:val="single"/>
        </w:rPr>
        <w:t>3</w:t>
      </w:r>
      <w:r w:rsidRPr="000D6AED">
        <w:rPr>
          <w:color w:val="000000" w:themeColor="text1"/>
          <w:u w:val="single"/>
        </w:rPr>
        <w:t>9</w:t>
      </w:r>
      <w:r w:rsidR="003E1A0C">
        <w:rPr>
          <w:color w:val="000000" w:themeColor="text1"/>
          <w:u w:val="single"/>
        </w:rPr>
        <w:noBreakHyphen/>
      </w:r>
      <w:r w:rsidRPr="000D6AED">
        <w:rPr>
          <w:color w:val="000000" w:themeColor="text1"/>
          <w:u w:val="single"/>
        </w:rPr>
        <w:t>360.</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4</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The department</w:t>
      </w:r>
      <w:r w:rsidR="003E1A0C" w:rsidRPr="003E1A0C">
        <w:rPr>
          <w:color w:val="000000" w:themeColor="text1"/>
          <w:u w:color="000000" w:themeColor="text1"/>
        </w:rPr>
        <w:t>’</w:t>
      </w:r>
      <w:r w:rsidRPr="000D6AED">
        <w:rPr>
          <w:color w:val="000000" w:themeColor="text1"/>
          <w:u w:color="000000" w:themeColor="text1"/>
        </w:rPr>
        <w:t xml:space="preserve">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5</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 of the 1976 Code is amended by adding a new subsection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szCs w:val="14"/>
        </w:rPr>
        <w:lastRenderedPageBreak/>
        <w:t>SECTION</w:t>
      </w:r>
      <w:r w:rsidRPr="000D6AED">
        <w:rPr>
          <w:szCs w:val="14"/>
        </w:rPr>
        <w:tab/>
      </w:r>
      <w:r w:rsidR="004E4276">
        <w:rPr>
          <w:szCs w:val="14"/>
        </w:rPr>
        <w:t>6</w:t>
      </w:r>
      <w:r w:rsidRPr="000D6AED">
        <w:rPr>
          <w:szCs w:val="14"/>
        </w:rPr>
        <w:t>.</w:t>
      </w:r>
      <w:r w:rsidRPr="000D6AED">
        <w:rPr>
          <w:szCs w:val="14"/>
        </w:rPr>
        <w:tab/>
        <w:t>Section 48</w:t>
      </w:r>
      <w:r w:rsidR="003E1A0C">
        <w:rPr>
          <w:szCs w:val="14"/>
        </w:rPr>
        <w:noBreakHyphen/>
      </w:r>
      <w:r w:rsidRPr="000D6AED">
        <w:rPr>
          <w:szCs w:val="14"/>
        </w:rPr>
        <w:t>39</w:t>
      </w:r>
      <w:r w:rsidR="003E1A0C">
        <w:rPr>
          <w:szCs w:val="14"/>
        </w:rPr>
        <w:noBreakHyphen/>
      </w:r>
      <w:r w:rsidRPr="000D6AED">
        <w:rPr>
          <w:szCs w:val="14"/>
        </w:rPr>
        <w:t>290(B)(2)(f) of the 1976 Code is repealed effective July 1, 202</w:t>
      </w:r>
      <w:r w:rsidR="00674F16">
        <w:rPr>
          <w:szCs w:val="14"/>
        </w:rPr>
        <w:t>5</w:t>
      </w:r>
      <w:r w:rsidRPr="000D6AED">
        <w:rPr>
          <w:szCs w:val="14"/>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4C69" w:rsidRPr="00522CE0"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7</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5E51" w:rsidRDefault="00075E51" w:rsidP="00075E51">
      <w:pPr>
        <w:suppressAutoHyphens/>
        <w:jc w:val="both"/>
        <w:rPr>
          <w:rFonts w:eastAsia="Times New Roman"/>
        </w:rPr>
      </w:pPr>
    </w:p>
    <w:sectPr w:rsidR="00075E51" w:rsidSect="00286F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A6CE5-260E-4228-9EB6-1E37BBFCCE7F}"/>
    <w:embedBold r:id="rId2" w:fontKey="{DA196261-E478-49C0-B911-D380655CDC30}"/>
    <w:embedBoldItalic r:id="rId3" w:fontKey="{15D9CD74-2528-42EC-A018-87F01E2E85FC}"/>
  </w:font>
  <w:font w:name="Calibri">
    <w:panose1 w:val="020F0502020204030204"/>
    <w:charset w:val="00"/>
    <w:family w:val="swiss"/>
    <w:pitch w:val="variable"/>
    <w:sig w:usb0="E10002FF" w:usb1="4000ACFF" w:usb2="00000009" w:usb3="00000000" w:csb0="0000019F" w:csb1="00000000"/>
    <w:embedRegular r:id="rId4" w:fontKey="{D3C391C5-B0AC-4F67-955D-40E6E4E46E7C}"/>
  </w:font>
  <w:font w:name="Cambria">
    <w:panose1 w:val="02040503050406030204"/>
    <w:charset w:val="00"/>
    <w:family w:val="roman"/>
    <w:pitch w:val="variable"/>
    <w:sig w:usb0="E00002FF" w:usb1="400004FF" w:usb2="00000000" w:usb3="00000000" w:csb0="0000019F" w:csb1="00000000"/>
    <w:embedRegular r:id="rId5" w:fontKey="{B0525D54-9F7D-4F1E-A393-E6EF98CDE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075E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5E51"/>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307C2B"/>
    <w:rsid w:val="00383247"/>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A413B"/>
    <w:rsid w:val="005A5017"/>
    <w:rsid w:val="005A648C"/>
    <w:rsid w:val="005F1745"/>
    <w:rsid w:val="0061561E"/>
    <w:rsid w:val="00674F16"/>
    <w:rsid w:val="006A1802"/>
    <w:rsid w:val="006C74EA"/>
    <w:rsid w:val="00720D40"/>
    <w:rsid w:val="007318D4"/>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5AFC"/>
    <w:rsid w:val="00BC0A56"/>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8</Pages>
  <Words>2558</Words>
  <Characters>13674</Characters>
  <Application>Microsoft Office Word</Application>
  <DocSecurity>0</DocSecurity>
  <Lines>313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(Feb. 5, 2015) - South Carolina Legislature Online</dc:title>
  <dc:subject/>
  <dc:creator>%USERNAME%</dc:creator>
  <cp:keywords/>
  <dc:description/>
  <cp:lastModifiedBy>Angela Hill</cp:lastModifiedBy>
  <cp:revision>2</cp:revision>
  <dcterms:created xsi:type="dcterms:W3CDTF">2015-02-05T17:54:00Z</dcterms:created>
  <dcterms:modified xsi:type="dcterms:W3CDTF">2015-02-05T17:54:00Z</dcterms:modified>
</cp:coreProperties>
</file>