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391441">
      <w:pPr>
        <w:tabs>
          <w:tab w:val="right" w:pos="5933"/>
        </w:tabs>
        <w:suppressAutoHyphens/>
        <w:jc w:val="both"/>
        <w:rPr>
          <w:rFonts w:eastAsia="Times New Roman"/>
        </w:rPr>
      </w:pPr>
      <w:r>
        <w:rPr>
          <w:rFonts w:eastAsia="Times New Roman"/>
        </w:rPr>
        <w:t>S. Printed 1/</w:t>
      </w:r>
      <w:r w:rsidR="00756BAE">
        <w:rPr>
          <w:rFonts w:eastAsia="Times New Roman"/>
        </w:rPr>
        <w:t>20</w:t>
      </w:r>
      <w:r>
        <w:rPr>
          <w:rFonts w:eastAsia="Times New Roman"/>
        </w:rPr>
        <w:t>/16--S.</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w:t>
      </w:r>
      <w:r w:rsidRPr="00DA4803">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Pr="00643ED8">
        <w:rPr>
          <w:rFonts w:eastAsia="Times New Roman"/>
          <w:strike/>
          <w:snapToGrid w:val="0"/>
          <w:szCs w:val="20"/>
        </w:rPr>
        <w:t>beach/dune</w:t>
      </w:r>
      <w:r w:rsidRPr="00DA4803">
        <w:rPr>
          <w:rFonts w:eastAsia="Times New Roman"/>
          <w:snapToGrid w:val="0"/>
          <w:szCs w:val="20"/>
        </w:rPr>
        <w:t xml:space="preserve"> </w:t>
      </w:r>
      <w:r w:rsidRPr="00DA4803">
        <w:rPr>
          <w:rFonts w:eastAsia="Times New Roman"/>
          <w:snapToGrid w:val="0"/>
          <w:szCs w:val="20"/>
          <w:u w:val="single"/>
        </w:rPr>
        <w:t>beach and dune</w:t>
      </w:r>
      <w:r w:rsidRPr="00DA4803">
        <w:rPr>
          <w:rFonts w:eastAsia="Times New Roman"/>
          <w:snapToGrid w:val="0"/>
          <w:szCs w:val="20"/>
        </w:rPr>
        <w:t xml:space="preserve"> critical area, only the use of sandbags, sandscraping, or renourishment, or a combination of </w:t>
      </w:r>
      <w:r w:rsidRPr="00643ED8">
        <w:rPr>
          <w:rFonts w:eastAsia="Times New Roman"/>
          <w:strike/>
          <w:snapToGrid w:val="0"/>
          <w:szCs w:val="20"/>
        </w:rPr>
        <w:t>them</w:t>
      </w:r>
      <w:r w:rsidRPr="00DA4803">
        <w:rPr>
          <w:rFonts w:eastAsia="Times New Roman"/>
          <w:snapToGrid w:val="0"/>
          <w:szCs w:val="20"/>
        </w:rPr>
        <w:t xml:space="preserve"> </w:t>
      </w:r>
      <w:r w:rsidRPr="00DA4803">
        <w:rPr>
          <w:rFonts w:eastAsia="Times New Roman"/>
          <w:snapToGrid w:val="0"/>
          <w:szCs w:val="20"/>
          <w:u w:val="single"/>
        </w:rPr>
        <w:t>the following techniques</w:t>
      </w:r>
      <w:r w:rsidRPr="00DA4803">
        <w:rPr>
          <w:rFonts w:eastAsia="Times New Roman"/>
          <w:snapToGrid w:val="0"/>
          <w:szCs w:val="20"/>
        </w:rPr>
        <w:t xml:space="preserve">, in accordance with guidelines provided by the department </w:t>
      </w:r>
      <w:r w:rsidRPr="00643ED8">
        <w:rPr>
          <w:rFonts w:eastAsia="Times New Roman"/>
          <w:strike/>
          <w:snapToGrid w:val="0"/>
          <w:szCs w:val="20"/>
        </w:rPr>
        <w:t>is</w:t>
      </w:r>
      <w:r w:rsidRPr="00DA4803">
        <w:rPr>
          <w:rFonts w:eastAsia="Times New Roman"/>
          <w:snapToGrid w:val="0"/>
          <w:szCs w:val="20"/>
        </w:rPr>
        <w:t xml:space="preserve"> </w:t>
      </w:r>
      <w:r w:rsidRPr="00DA4803">
        <w:rPr>
          <w:rFonts w:eastAsia="Times New Roman"/>
          <w:snapToGrid w:val="0"/>
          <w:szCs w:val="20"/>
          <w:u w:val="single"/>
        </w:rPr>
        <w:t>are</w:t>
      </w:r>
      <w:r>
        <w:rPr>
          <w:rFonts w:eastAsia="Times New Roman"/>
          <w:snapToGrid w:val="0"/>
          <w:szCs w:val="20"/>
        </w:rPr>
        <w:t xml:space="preserve"> allowed pursuant to this item</w:t>
      </w:r>
      <w:r w:rsidRPr="00DA4803">
        <w:rPr>
          <w:rFonts w:eastAsia="Times New Roman"/>
          <w:snapToGrid w:val="0"/>
          <w:szCs w:val="20"/>
          <w:u w:val="single"/>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(a)</w:t>
      </w:r>
      <w:r w:rsidRPr="00DA4803">
        <w:rPr>
          <w:rFonts w:eastAsia="Times New Roman"/>
          <w:snapToGrid w:val="0"/>
          <w:szCs w:val="20"/>
        </w:rPr>
        <w:tab/>
      </w:r>
      <w:r w:rsidRPr="00DA4803">
        <w:rPr>
          <w:rFonts w:eastAsia="Times New Roman"/>
          <w:snapToGrid w:val="0"/>
          <w:szCs w:val="20"/>
          <w:u w:val="single"/>
        </w:rPr>
        <w:t>sandbags, provided that a bond is supplied to reasonably estimate and cover the cost of removal;</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(b)</w:t>
      </w:r>
      <w:r w:rsidRPr="00DA4803">
        <w:rPr>
          <w:rFonts w:eastAsia="Times New Roman"/>
          <w:snapToGrid w:val="0"/>
          <w:szCs w:val="20"/>
        </w:rPr>
        <w:tab/>
      </w:r>
      <w:r>
        <w:rPr>
          <w:rFonts w:eastAsia="Times New Roman"/>
          <w:snapToGrid w:val="0"/>
          <w:szCs w:val="20"/>
          <w:u w:val="single"/>
        </w:rPr>
        <w:t>sand</w:t>
      </w:r>
      <w:r w:rsidRPr="00DA4803">
        <w:rPr>
          <w:rFonts w:eastAsia="Times New Roman"/>
          <w:snapToGrid w:val="0"/>
          <w:szCs w:val="20"/>
          <w:u w:val="single"/>
        </w:rPr>
        <w:t>scraping;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(c)</w:t>
      </w:r>
      <w:r w:rsidRPr="00DA4803">
        <w:rPr>
          <w:rFonts w:eastAsia="Times New Roman"/>
          <w:snapToGrid w:val="0"/>
          <w:szCs w:val="20"/>
        </w:rPr>
        <w:tab/>
      </w:r>
      <w:r w:rsidRPr="00DA4803">
        <w:rPr>
          <w:rFonts w:eastAsia="Times New Roman"/>
          <w:snapToGrid w:val="0"/>
          <w:szCs w:val="20"/>
          <w:u w:val="single"/>
        </w:rPr>
        <w:t>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(d)</w:t>
      </w:r>
      <w:r w:rsidRPr="00DA4803">
        <w:rPr>
          <w:rFonts w:eastAsia="Times New Roman"/>
          <w:snapToGrid w:val="0"/>
          <w:szCs w:val="20"/>
        </w:rPr>
        <w:tab/>
      </w:r>
      <w:r w:rsidRPr="00DA4803">
        <w:rPr>
          <w:rFonts w:eastAsia="Times New Roman"/>
          <w:snapToGrid w:val="0"/>
          <w:szCs w:val="20"/>
          <w:u w:val="single"/>
        </w:rPr>
        <w:t>any other technology, methodology, or structure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320(C), provided that: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(i)</w:t>
      </w:r>
      <w:r w:rsidRPr="00643ED8">
        <w:rPr>
          <w:rFonts w:eastAsia="Times New Roman"/>
          <w:snapToGrid w:val="0"/>
          <w:szCs w:val="20"/>
        </w:rPr>
        <w:tab/>
      </w:r>
      <w:r w:rsidRPr="00DA4803">
        <w:rPr>
          <w:rFonts w:eastAsia="Times New Roman"/>
          <w:snapToGrid w:val="0"/>
          <w:szCs w:val="20"/>
          <w:u w:val="single"/>
        </w:rPr>
        <w:t>the emergency order for use is only issued by the department;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sidRPr="00DA4803">
        <w:rPr>
          <w:rFonts w:eastAsia="Times New Roman"/>
          <w:snapToGrid w:val="0"/>
          <w:szCs w:val="20"/>
          <w:u w:val="single"/>
        </w:rPr>
        <w:t>(ii)</w:t>
      </w:r>
      <w:r w:rsidRPr="00643ED8">
        <w:rPr>
          <w:rFonts w:eastAsia="Times New Roman"/>
          <w:snapToGrid w:val="0"/>
          <w:szCs w:val="20"/>
        </w:rPr>
        <w:tab/>
      </w:r>
      <w:r w:rsidRPr="00DA4803">
        <w:rPr>
          <w:rFonts w:eastAsia="Times New Roman"/>
          <w:snapToGrid w:val="0"/>
          <w:szCs w:val="20"/>
          <w:u w:val="single"/>
        </w:rPr>
        <w:t>a bond is supplied to reasonably estimate and cover the cost of removal; or</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(e)</w:t>
      </w:r>
      <w:r w:rsidRPr="00DA4803">
        <w:rPr>
          <w:rFonts w:eastAsia="Times New Roman"/>
          <w:snapToGrid w:val="0"/>
          <w:szCs w:val="20"/>
        </w:rPr>
        <w:tab/>
      </w:r>
      <w:r w:rsidRPr="00DA4803">
        <w:rPr>
          <w:rFonts w:eastAsia="Times New Roman"/>
          <w:snapToGrid w:val="0"/>
          <w:szCs w:val="20"/>
          <w:u w:val="single"/>
        </w:rPr>
        <w:t>a combination of these techniques.</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w:t>
      </w:r>
      <w:r w:rsidRPr="00DA4803">
        <w:rPr>
          <w:rFonts w:eastAsia="Times New Roman"/>
          <w:snapToGrid w:val="0"/>
          <w:szCs w:val="20"/>
        </w:rPr>
        <w:lastRenderedPageBreak/>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w:t>
      </w:r>
      <w:r w:rsidRPr="00DA4803">
        <w:rPr>
          <w:rFonts w:eastAsia="Times New Roman"/>
          <w:snapToGrid w:val="0"/>
          <w:szCs w:val="20"/>
        </w:rPr>
        <w:lastRenderedPageBreak/>
        <w:t>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issuance of the general permit would advance the implementation </w:t>
      </w:r>
      <w:r w:rsidRPr="00DA4803">
        <w:rPr>
          <w:rFonts w:eastAsia="Times New Roman"/>
          <w:snapToGrid w:val="0"/>
          <w:szCs w:val="20"/>
          <w:u w:val="single"/>
        </w:rPr>
        <w:lastRenderedPageBreak/>
        <w:t>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AC7175">
        <w:rPr>
          <w:rFonts w:eastAsia="Times New Roman"/>
          <w:snapToGrid w:val="0"/>
          <w:szCs w:val="20"/>
        </w:rPr>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This act takes effect upon approval by the Governor; however, Section 48</w:t>
      </w:r>
      <w:r>
        <w:rPr>
          <w:rFonts w:eastAsia="Times New Roman"/>
          <w:snapToGrid w:val="0"/>
          <w:szCs w:val="20"/>
        </w:rPr>
        <w:noBreakHyphen/>
        <w:t>39</w:t>
      </w:r>
      <w:r>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3B04" w:rsidRDefault="00C43B04" w:rsidP="00C43B04">
      <w:pPr>
        <w:suppressAutoHyphens/>
        <w:jc w:val="both"/>
        <w:rPr>
          <w:rFonts w:eastAsia="Times New Roman"/>
        </w:rPr>
      </w:pPr>
    </w:p>
    <w:sectPr w:rsidR="00C43B04"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33FAC8-0608-45EF-8243-6F0BD3BD583F}"/>
    <w:embedBold r:id="rId2" w:fontKey="{CC2A048E-8815-4917-A3E0-09B833EC98E6}"/>
    <w:embedBoldItalic r:id="rId3" w:fontKey="{6A25AC56-F76B-4981-80E0-718D8F58EA57}"/>
  </w:font>
  <w:font w:name="Calibri">
    <w:panose1 w:val="020F0502020204030204"/>
    <w:charset w:val="00"/>
    <w:family w:val="swiss"/>
    <w:pitch w:val="variable"/>
    <w:sig w:usb0="E00002FF" w:usb1="4000ACFF" w:usb2="00000001" w:usb3="00000000" w:csb0="0000019F" w:csb1="00000000"/>
    <w:embedRegular r:id="rId4" w:fontKey="{9D636D97-7636-4567-BED1-D6F43F8985BC}"/>
  </w:font>
  <w:font w:name="Segoe UI">
    <w:panose1 w:val="020B0502040204020203"/>
    <w:charset w:val="00"/>
    <w:family w:val="swiss"/>
    <w:pitch w:val="variable"/>
    <w:sig w:usb0="E10022FF" w:usb1="C000E47F" w:usb2="00000029" w:usb3="00000000" w:csb0="000001DF" w:csb1="00000000"/>
    <w:embedRegular r:id="rId5" w:fontKey="{C399485D-C037-4B40-AA6F-818DF95A4829}"/>
  </w:font>
  <w:font w:name="Cambria">
    <w:panose1 w:val="02040503050406030204"/>
    <w:charset w:val="00"/>
    <w:family w:val="roman"/>
    <w:pitch w:val="variable"/>
    <w:sig w:usb0="E00002FF" w:usb1="400004FF" w:usb2="00000000" w:usb3="00000000" w:csb0="0000019F" w:csb1="00000000"/>
    <w:embedRegular r:id="rId6" w:fontKey="{ADBA114A-9FD3-4FA7-B93C-5D68A849F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C43B04">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C43B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56BAE"/>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5AFC"/>
    <w:rsid w:val="00BC0A56"/>
    <w:rsid w:val="00C00A27"/>
    <w:rsid w:val="00C43B04"/>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94D5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47C5AF1D.dotm</Template>
  <TotalTime>0</TotalTime>
  <Pages>6</Pages>
  <Words>1338</Words>
  <Characters>7385</Characters>
  <Application>Microsoft Office Word</Application>
  <DocSecurity>0</DocSecurity>
  <Lines>197</Lines>
  <Paragraphs>48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(Jan. 20, 2016) - South Carolina Legislature Online</dc:title>
  <dc:subject/>
  <dc:creator>%USERNAME%</dc:creator>
  <cp:keywords/>
  <dc:description/>
  <cp:lastModifiedBy>Brent Walling</cp:lastModifiedBy>
  <cp:revision>2</cp:revision>
  <cp:lastPrinted>2016-01-20T20:06:00Z</cp:lastPrinted>
  <dcterms:created xsi:type="dcterms:W3CDTF">2016-01-20T20:18:00Z</dcterms:created>
  <dcterms:modified xsi:type="dcterms:W3CDTF">2016-01-20T20:18:00Z</dcterms:modified>
</cp:coreProperties>
</file>