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7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F369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2F3690">
        <w:rPr>
          <w:rFonts w:eastAsia="Times New Roman"/>
        </w:rPr>
        <w:t>, 2016</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BE0F70" w:rsidP="00BB01C2">
      <w:pPr>
        <w:tabs>
          <w:tab w:val="right" w:pos="5933"/>
        </w:tabs>
        <w:suppressAutoHyphens/>
        <w:jc w:val="both"/>
        <w:rPr>
          <w:rFonts w:eastAsia="Times New Roman"/>
        </w:rPr>
      </w:pPr>
      <w:r>
        <w:rPr>
          <w:rFonts w:eastAsia="Times New Roman"/>
        </w:rPr>
        <w:t>S. Printed 4</w:t>
      </w:r>
      <w:r w:rsidR="00596654">
        <w:rPr>
          <w:rFonts w:eastAsia="Times New Roman"/>
        </w:rPr>
        <w:t>/</w:t>
      </w:r>
      <w:r>
        <w:rPr>
          <w:rFonts w:eastAsia="Times New Roman"/>
        </w:rPr>
        <w:t>21</w:t>
      </w:r>
      <w:r w:rsidR="00596654">
        <w:rPr>
          <w:rFonts w:eastAsia="Times New Roman"/>
        </w:rPr>
        <w:t>/16--S.</w:t>
      </w:r>
      <w:r w:rsidR="00BB01C2">
        <w:rPr>
          <w:rFonts w:eastAsia="Times New Roman"/>
        </w:rPr>
        <w:tab/>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00A27"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BAE" w:rsidRDefault="0075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SECTION</w:t>
      </w:r>
      <w:r w:rsidRPr="00DA4803">
        <w:rPr>
          <w:rFonts w:eastAsia="Times New Roman"/>
          <w:snapToGrid w:val="0"/>
          <w:szCs w:val="20"/>
        </w:rPr>
        <w:tab/>
        <w:t>1.</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 of the 1976 Code, is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9E6542" w:rsidRDefault="00756BAE"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00BE0F70" w:rsidRPr="009E6542">
        <w:rPr>
          <w:rFonts w:eastAsia="Times New Roman"/>
          <w:snapToGrid w:val="0"/>
          <w:szCs w:val="20"/>
        </w:rPr>
        <w:t>“Section 48</w:t>
      </w:r>
      <w:r w:rsidR="00BE0F70" w:rsidRPr="009E6542">
        <w:rPr>
          <w:rFonts w:eastAsia="Times New Roman"/>
          <w:snapToGrid w:val="0"/>
          <w:szCs w:val="20"/>
        </w:rPr>
        <w:noBreakHyphen/>
        <w:t>39</w:t>
      </w:r>
      <w:r w:rsidR="00BE0F70" w:rsidRPr="009E6542">
        <w:rPr>
          <w:rFonts w:eastAsia="Times New Roman"/>
          <w:snapToGrid w:val="0"/>
          <w:szCs w:val="20"/>
        </w:rPr>
        <w:noBreakHyphen/>
        <w:t>130.</w:t>
      </w:r>
      <w:r w:rsidR="00BE0F70" w:rsidRPr="009E6542">
        <w:rPr>
          <w:rFonts w:eastAsia="Times New Roman"/>
          <w:snapToGrid w:val="0"/>
          <w:szCs w:val="20"/>
        </w:rPr>
        <w:tab/>
        <w:t>(D)(1)</w:t>
      </w:r>
      <w:r w:rsidR="00BE0F70" w:rsidRPr="009E6542">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00BE0F70" w:rsidRPr="00924067">
        <w:rPr>
          <w:rFonts w:eastAsia="Times New Roman"/>
          <w:strike/>
          <w:snapToGrid w:val="0"/>
          <w:szCs w:val="20"/>
        </w:rPr>
        <w:t>beach/dune</w:t>
      </w:r>
      <w:r w:rsidR="00BE0F70" w:rsidRPr="009E6542">
        <w:rPr>
          <w:rFonts w:eastAsia="Times New Roman"/>
          <w:snapToGrid w:val="0"/>
          <w:szCs w:val="20"/>
        </w:rPr>
        <w:t xml:space="preserve"> </w:t>
      </w:r>
      <w:r w:rsidR="00BE0F70" w:rsidRPr="009E6542">
        <w:rPr>
          <w:rFonts w:eastAsia="Times New Roman"/>
          <w:snapToGrid w:val="0"/>
          <w:szCs w:val="20"/>
          <w:u w:val="single"/>
        </w:rPr>
        <w:t>beach and dune</w:t>
      </w:r>
      <w:r w:rsidR="00BE0F70" w:rsidRPr="009E6542">
        <w:rPr>
          <w:rFonts w:eastAsia="Times New Roman"/>
          <w:snapToGrid w:val="0"/>
          <w:szCs w:val="20"/>
        </w:rPr>
        <w:t xml:space="preserve"> critical area, </w:t>
      </w:r>
      <w:r w:rsidR="00BE0F70" w:rsidRPr="009E6542">
        <w:rPr>
          <w:rFonts w:eastAsia="Times New Roman"/>
          <w:strike/>
          <w:snapToGrid w:val="0"/>
          <w:szCs w:val="20"/>
        </w:rPr>
        <w:t>only the use of sandbags, sandscraping, or renourishment, or a combination of them</w:t>
      </w:r>
      <w:r w:rsidR="00BE0F70" w:rsidRPr="009E6542">
        <w:rPr>
          <w:rFonts w:eastAsia="Times New Roman"/>
          <w:snapToGrid w:val="0"/>
          <w:szCs w:val="20"/>
        </w:rPr>
        <w:t xml:space="preserve"> </w:t>
      </w:r>
      <w:r w:rsidR="00BE0F70" w:rsidRPr="009E6542">
        <w:rPr>
          <w:rFonts w:eastAsia="Times New Roman"/>
          <w:snapToGrid w:val="0"/>
          <w:szCs w:val="20"/>
          <w:u w:val="single"/>
        </w:rPr>
        <w:t>the following techniques</w:t>
      </w:r>
      <w:r w:rsidR="00BE0F70">
        <w:rPr>
          <w:rFonts w:eastAsia="Times New Roman"/>
          <w:snapToGrid w:val="0"/>
          <w:szCs w:val="20"/>
          <w:u w:val="single"/>
        </w:rPr>
        <w:t xml:space="preserve"> or a combination thereof, shall be used </w:t>
      </w:r>
      <w:r w:rsidR="00BE0F70" w:rsidRPr="009E6542">
        <w:rPr>
          <w:rFonts w:eastAsia="Times New Roman"/>
          <w:snapToGrid w:val="0"/>
          <w:szCs w:val="20"/>
        </w:rPr>
        <w:t xml:space="preserve">in accordance with guidelines provided by the department is </w:t>
      </w:r>
      <w:r w:rsidR="00BE0F70" w:rsidRPr="009E6542">
        <w:rPr>
          <w:rFonts w:eastAsia="Times New Roman"/>
          <w:snapToGrid w:val="0"/>
          <w:szCs w:val="20"/>
          <w:u w:val="single"/>
        </w:rPr>
        <w:t>are</w:t>
      </w:r>
      <w:r w:rsidR="00BE0F70" w:rsidRPr="009E6542">
        <w:rPr>
          <w:rFonts w:eastAsia="Times New Roman"/>
          <w:snapToGrid w:val="0"/>
          <w:szCs w:val="20"/>
        </w:rPr>
        <w:t xml:space="preserve"> allowed pursuant to this item.</w:t>
      </w:r>
      <w:r w:rsidR="00BE0F70" w:rsidRPr="009E6542">
        <w:rPr>
          <w:rFonts w:eastAsia="Times New Roman"/>
          <w:snapToGrid w:val="0"/>
          <w:szCs w:val="20"/>
          <w:u w:val="single"/>
        </w:rPr>
        <w: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(a)</w:t>
      </w:r>
      <w:r w:rsidRPr="009E6542">
        <w:rPr>
          <w:rFonts w:eastAsia="Times New Roman"/>
          <w:snapToGrid w:val="0"/>
          <w:szCs w:val="20"/>
        </w:rPr>
        <w:tab/>
      </w:r>
      <w:r w:rsidRPr="009E6542">
        <w:rPr>
          <w:rFonts w:eastAsia="Times New Roman"/>
          <w:snapToGrid w:val="0"/>
          <w:szCs w:val="20"/>
          <w:u w:val="single"/>
        </w:rPr>
        <w:t>sandbags, provided that a bond is supplied to reasonably estimate and cover the cost of removal;</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(b)</w:t>
      </w:r>
      <w:r w:rsidRPr="009E6542">
        <w:rPr>
          <w:rFonts w:eastAsia="Times New Roman"/>
          <w:snapToGrid w:val="0"/>
          <w:szCs w:val="20"/>
        </w:rPr>
        <w:tab/>
      </w:r>
      <w:r w:rsidRPr="009E6542">
        <w:rPr>
          <w:rFonts w:eastAsia="Times New Roman"/>
          <w:snapToGrid w:val="0"/>
          <w:szCs w:val="20"/>
          <w:u w:val="single"/>
        </w:rPr>
        <w:t>sandscraping;</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(c)</w:t>
      </w:r>
      <w:r w:rsidRPr="009E6542">
        <w:rPr>
          <w:rFonts w:eastAsia="Times New Roman"/>
          <w:snapToGrid w:val="0"/>
          <w:szCs w:val="20"/>
        </w:rPr>
        <w:tab/>
      </w:r>
      <w:r w:rsidRPr="009E6542">
        <w:rPr>
          <w:rFonts w:eastAsia="Times New Roman"/>
          <w:snapToGrid w:val="0"/>
          <w:szCs w:val="20"/>
          <w:u w:val="single"/>
        </w:rPr>
        <w:t>renourishment;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(d)</w:t>
      </w:r>
      <w:r w:rsidRPr="009E6542">
        <w:rPr>
          <w:rFonts w:eastAsia="Times New Roman"/>
          <w:snapToGrid w:val="0"/>
          <w:szCs w:val="20"/>
        </w:rPr>
        <w:tab/>
      </w:r>
      <w:r w:rsidRPr="009E6542">
        <w:rPr>
          <w:rFonts w:eastAsia="Times New Roman"/>
          <w:snapToGrid w:val="0"/>
          <w:szCs w:val="20"/>
          <w:u w:val="single"/>
        </w:rPr>
        <w:t>any other technol</w:t>
      </w:r>
      <w:r>
        <w:rPr>
          <w:rFonts w:eastAsia="Times New Roman"/>
          <w:snapToGrid w:val="0"/>
          <w:szCs w:val="20"/>
          <w:u w:val="single"/>
        </w:rPr>
        <w:t xml:space="preserve">ogy, methodology, or structure </w:t>
      </w:r>
      <w:r w:rsidRPr="009E6542">
        <w:rPr>
          <w:rFonts w:eastAsia="Times New Roman"/>
          <w:snapToGrid w:val="0"/>
          <w:szCs w:val="20"/>
          <w:u w:val="single"/>
        </w:rPr>
        <w:t>pursuant to Section 48</w:t>
      </w:r>
      <w:r w:rsidRPr="009E6542">
        <w:rPr>
          <w:rFonts w:eastAsia="Times New Roman"/>
          <w:snapToGrid w:val="0"/>
          <w:szCs w:val="20"/>
          <w:u w:val="single"/>
        </w:rPr>
        <w:noBreakHyphen/>
        <w:t>39</w:t>
      </w:r>
      <w:r w:rsidRPr="009E6542">
        <w:rPr>
          <w:rFonts w:eastAsia="Times New Roman"/>
          <w:snapToGrid w:val="0"/>
          <w:szCs w:val="20"/>
          <w:u w:val="single"/>
        </w:rPr>
        <w:noBreakHyphen/>
        <w:t>320(C), provided that: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w:t>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the emergency order for use is only issued by the department; and</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(ii)</w:t>
      </w:r>
      <w:r w:rsidRPr="009E6542">
        <w:rPr>
          <w:rFonts w:eastAsia="Times New Roman"/>
          <w:snapToGrid w:val="0"/>
          <w:szCs w:val="20"/>
        </w:rPr>
        <w:tab/>
      </w:r>
      <w:r w:rsidRPr="009E6542">
        <w:rPr>
          <w:rFonts w:eastAsia="Times New Roman"/>
          <w:snapToGrid w:val="0"/>
          <w:szCs w:val="20"/>
          <w:u w:val="single"/>
        </w:rPr>
        <w:t>a bond is supplied to reasonably estimate and cover the cost of removal; or</w:t>
      </w:r>
    </w:p>
    <w:p w:rsidR="00756BAE"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(e)</w:t>
      </w:r>
      <w:r w:rsidRPr="009E6542">
        <w:rPr>
          <w:rFonts w:eastAsia="Times New Roman"/>
          <w:snapToGrid w:val="0"/>
          <w:szCs w:val="20"/>
        </w:rPr>
        <w:tab/>
      </w:r>
      <w:r w:rsidRPr="009E6542">
        <w:rPr>
          <w:rFonts w:eastAsia="Times New Roman"/>
          <w:snapToGrid w:val="0"/>
          <w:szCs w:val="20"/>
          <w:u w:val="single"/>
        </w:rPr>
        <w:t>a combination of these techniques.</w:t>
      </w:r>
      <w:r w:rsidRPr="009E6542">
        <w:rPr>
          <w:rFonts w:eastAsia="Times New Roman"/>
          <w:snapToGrid w:val="0"/>
          <w:szCs w:val="20"/>
        </w:rPr>
        <w:t>”</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DA4803">
        <w:rPr>
          <w:rFonts w:eastAsia="Times New Roman"/>
          <w:snapToGrid w:val="0"/>
          <w:szCs w:val="20"/>
        </w:rPr>
        <w:t>.</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290(A) of the 1976 Code, as last amended by Act 259 of 2011, is further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A4803">
        <w:rPr>
          <w:rFonts w:eastAsia="Times New Roman"/>
          <w:snapToGrid w:val="0"/>
          <w:szCs w:val="20"/>
        </w:rPr>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w:t>
      </w:r>
      <w:r>
        <w:rPr>
          <w:rFonts w:eastAsia="Times New Roman"/>
          <w:snapToGrid w:val="0"/>
          <w:szCs w:val="20"/>
        </w:rPr>
        <w:t>.</w:t>
      </w:r>
      <w:r>
        <w:rPr>
          <w:rFonts w:eastAsia="Times New Roman"/>
          <w:snapToGrid w:val="0"/>
          <w:szCs w:val="20"/>
        </w:rPr>
        <w:tab/>
        <w:t>(A)</w:t>
      </w:r>
      <w:r>
        <w:rPr>
          <w:rFonts w:eastAsia="Times New Roman"/>
          <w:snapToGrid w:val="0"/>
          <w:szCs w:val="20"/>
        </w:rPr>
        <w:tab/>
      </w:r>
      <w:r w:rsidRPr="00DA4803">
        <w:rPr>
          <w:rFonts w:eastAsia="Times New Roman"/>
          <w:snapToGrid w:val="0"/>
          <w:szCs w:val="20"/>
        </w:rPr>
        <w:t>No new construction or reconstruction is allowed seaward of the baseline except: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E444B4">
        <w:rPr>
          <w:rFonts w:eastAsia="Times New Roman"/>
          <w:strike/>
          <w:snapToGrid w:val="0"/>
          <w:szCs w:val="20"/>
        </w:rPr>
        <w:t>wooden</w:t>
      </w:r>
      <w:r>
        <w:rPr>
          <w:rFonts w:eastAsia="Times New Roman"/>
          <w:snapToGrid w:val="0"/>
          <w:szCs w:val="20"/>
        </w:rPr>
        <w:t xml:space="preserve"> walkways no larger in width than </w:t>
      </w:r>
      <w:r w:rsidRPr="00DA4803">
        <w:rPr>
          <w:rFonts w:eastAsia="Times New Roman"/>
          <w:snapToGrid w:val="0"/>
          <w:szCs w:val="20"/>
        </w:rPr>
        <w:t xml:space="preserve">six feet </w:t>
      </w:r>
      <w:r w:rsidRPr="00E444B4">
        <w:rPr>
          <w:rFonts w:eastAsia="Times New Roman"/>
          <w:snapToGrid w:val="0"/>
          <w:szCs w:val="20"/>
          <w:u w:val="single"/>
        </w:rPr>
        <w:t>an</w:t>
      </w:r>
      <w:r w:rsidRPr="00DA4803">
        <w:rPr>
          <w:rFonts w:eastAsia="Times New Roman"/>
          <w:snapToGrid w:val="0"/>
          <w:szCs w:val="20"/>
          <w:u w:val="single"/>
        </w:rPr>
        <w:t>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DA4803">
        <w:rPr>
          <w:rFonts w:eastAsia="Times New Roman"/>
          <w:snapToGrid w:val="0"/>
          <w:szCs w:val="20"/>
        </w:rPr>
        <w:t>small wooden decks no larger than one hundred forty</w:t>
      </w:r>
      <w:r>
        <w:rPr>
          <w:rFonts w:eastAsia="Times New Roman"/>
          <w:snapToGrid w:val="0"/>
          <w:szCs w:val="20"/>
        </w:rPr>
        <w:noBreakHyphen/>
      </w:r>
      <w:r w:rsidRPr="00DA4803">
        <w:rPr>
          <w:rFonts w:eastAsia="Times New Roman"/>
          <w:snapToGrid w:val="0"/>
          <w:szCs w:val="20"/>
        </w:rPr>
        <w:t xml:space="preserve">four square feet </w:t>
      </w:r>
      <w:r w:rsidRPr="00DA4803">
        <w:rPr>
          <w:rFonts w:eastAsia="Times New Roman"/>
          <w:snapToGrid w:val="0"/>
          <w:szCs w:val="20"/>
          <w:u w:val="single"/>
        </w:rPr>
        <w:t>and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lastRenderedPageBreak/>
        <w:tab/>
      </w:r>
      <w:r w:rsidRPr="00DA4803">
        <w:rPr>
          <w:rFonts w:eastAsia="Times New Roman"/>
          <w:snapToGrid w:val="0"/>
          <w:szCs w:val="20"/>
        </w:rPr>
        <w:tab/>
        <w:t>(3)</w:t>
      </w:r>
      <w:r w:rsidRPr="00DA4803">
        <w:rPr>
          <w:rFonts w:eastAsia="Times New Roman"/>
          <w:snapToGrid w:val="0"/>
          <w:szCs w:val="20"/>
        </w:rPr>
        <w:tab/>
        <w:t xml:space="preserve">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E444B4">
        <w:rPr>
          <w:rFonts w:eastAsia="Times New Roman"/>
          <w:strike/>
          <w:snapToGrid w:val="0"/>
          <w:szCs w:val="20"/>
        </w:rPr>
        <w:t>which</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existed on September 21, 1989, </w:t>
      </w:r>
      <w:r w:rsidRPr="00DA4803">
        <w:rPr>
          <w:rFonts w:eastAsia="Times New Roman"/>
          <w:snapToGrid w:val="0"/>
          <w:szCs w:val="20"/>
          <w:u w:val="single"/>
        </w:rPr>
        <w:t>and</w:t>
      </w:r>
      <w:r w:rsidRPr="00DA4803">
        <w:rPr>
          <w:rFonts w:eastAsia="Times New Roman"/>
          <w:snapToGrid w:val="0"/>
          <w:szCs w:val="20"/>
        </w:rPr>
        <w:t xml:space="preserve"> that were privately owned, privately maintained, and not open to the public on </w:t>
      </w:r>
      <w:r w:rsidRPr="00E444B4">
        <w:rPr>
          <w:rFonts w:eastAsia="Times New Roman"/>
          <w:strike/>
          <w:snapToGrid w:val="0"/>
          <w:szCs w:val="20"/>
        </w:rPr>
        <w:t>this</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date also may be rebuilt and used for the same purposes if they are constructed to the same dimensions;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(4)</w:t>
      </w:r>
      <w:r w:rsidRPr="00DA4803">
        <w:rPr>
          <w:rFonts w:eastAsia="Times New Roman"/>
          <w:snapToGrid w:val="0"/>
          <w:szCs w:val="20"/>
        </w:rPr>
        <w:tab/>
        <w:t xml:space="preserve">golf courses </w:t>
      </w:r>
      <w:r w:rsidRPr="00DA4803">
        <w:rPr>
          <w:rFonts w:eastAsia="Times New Roman"/>
          <w:snapToGrid w:val="0"/>
          <w:szCs w:val="20"/>
          <w:u w:val="single"/>
        </w:rPr>
        <w:t>for repair and maintenance, and any action taken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135</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(5)</w:t>
      </w:r>
      <w:r w:rsidRPr="00DA4803">
        <w:rPr>
          <w:rFonts w:eastAsia="Times New Roman"/>
          <w:snapToGrid w:val="0"/>
          <w:szCs w:val="20"/>
        </w:rPr>
        <w:tab/>
        <w:t>normal landscaping</w:t>
      </w:r>
      <w:r w:rsidRPr="00DA4803">
        <w:rPr>
          <w:rFonts w:eastAsia="Times New Roman"/>
          <w:snapToGrid w:val="0"/>
          <w:szCs w:val="20"/>
          <w:u w:val="single"/>
        </w:rPr>
        <w:t>, sandfencing, revegetation of dunes, minor beach renourishment</w:t>
      </w:r>
      <w:r>
        <w:rPr>
          <w:rFonts w:eastAsia="Times New Roman"/>
          <w:snapToGrid w:val="0"/>
          <w:szCs w:val="20"/>
          <w:u w:val="single"/>
        </w:rPr>
        <w:t>,</w:t>
      </w:r>
      <w:r w:rsidRPr="00DA4803">
        <w:rPr>
          <w:rFonts w:eastAsia="Times New Roman"/>
          <w:snapToGrid w:val="0"/>
          <w:szCs w:val="20"/>
          <w:u w:val="single"/>
        </w:rPr>
        <w:t xml:space="preserve"> and dune construction</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(6)</w:t>
      </w:r>
      <w:r w:rsidRPr="00DA4803">
        <w:rPr>
          <w:rFonts w:eastAsia="Times New Roman"/>
          <w:snapToGrid w:val="0"/>
          <w:szCs w:val="20"/>
        </w:rPr>
        <w:tab/>
        <w:t>structures specifically permitted by special permit as provided in subsection (D);</w:t>
      </w:r>
    </w:p>
    <w:p w:rsidR="00756BAE" w:rsidRPr="00DA4803" w:rsidRDefault="00756BAE" w:rsidP="00756BA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Pr>
          <w:rFonts w:eastAsia="Times New Roman"/>
          <w:snapToGrid w:val="0"/>
          <w:szCs w:val="20"/>
        </w:rPr>
        <w:tab/>
        <w:t>(7)</w:t>
      </w:r>
      <w:r>
        <w:rPr>
          <w:rFonts w:eastAsia="Times New Roman"/>
          <w:snapToGrid w:val="0"/>
          <w:szCs w:val="20"/>
        </w:rPr>
        <w:tab/>
      </w:r>
      <w:r w:rsidRPr="00DA4803">
        <w:rPr>
          <w:rFonts w:eastAsia="Times New Roman"/>
          <w:snapToGrid w:val="0"/>
          <w:szCs w:val="20"/>
          <w:u w:val="single"/>
        </w:rPr>
        <w:t>existing</w:t>
      </w:r>
      <w:r w:rsidRPr="00AC7175">
        <w:rPr>
          <w:rFonts w:eastAsia="Times New Roman"/>
          <w:snapToGrid w:val="0"/>
          <w:szCs w:val="20"/>
        </w:rPr>
        <w:t xml:space="preserve"> </w:t>
      </w:r>
      <w:r w:rsidRPr="00DA4803">
        <w:rPr>
          <w:rFonts w:eastAsia="Times New Roman"/>
          <w:snapToGrid w:val="0"/>
          <w:szCs w:val="20"/>
        </w:rPr>
        <w:t xml:space="preserve">pools </w:t>
      </w:r>
      <w:r w:rsidRPr="00AC7175">
        <w:rPr>
          <w:rFonts w:eastAsia="Times New Roman"/>
          <w:strike/>
          <w:snapToGrid w:val="0"/>
          <w:szCs w:val="20"/>
        </w:rPr>
        <w:t>may be reconstructed</w:t>
      </w:r>
      <w:r w:rsidRPr="00DA4803">
        <w:rPr>
          <w:rFonts w:eastAsia="Times New Roman"/>
          <w:snapToGrid w:val="0"/>
          <w:szCs w:val="20"/>
        </w:rPr>
        <w:t xml:space="preserve"> if they are landward of an existing, functional erosion control structure</w:t>
      </w:r>
      <w:r>
        <w:rPr>
          <w:rFonts w:eastAsia="Times New Roman"/>
          <w:snapToGrid w:val="0"/>
          <w:szCs w:val="20"/>
        </w:rPr>
        <w:t>,</w:t>
      </w:r>
      <w:r w:rsidRPr="00DA4803">
        <w:rPr>
          <w:rFonts w:eastAsia="Times New Roman"/>
          <w:snapToGrid w:val="0"/>
          <w:szCs w:val="20"/>
        </w:rPr>
        <w:t xml:space="preserve"> or device</w:t>
      </w:r>
      <w:r>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(8)</w:t>
      </w:r>
      <w:r w:rsidRPr="00DA4803">
        <w:rPr>
          <w:rFonts w:eastAsia="Times New Roman"/>
          <w:snapToGrid w:val="0"/>
          <w:szCs w:val="20"/>
        </w:rPr>
        <w:tab/>
        <w:t>existing groins</w:t>
      </w:r>
      <w:r w:rsidRPr="00DA4803">
        <w:rPr>
          <w:rFonts w:eastAsia="Times New Roman"/>
          <w:snapToGrid w:val="0"/>
          <w:szCs w:val="20"/>
          <w:u w:val="single"/>
        </w:rPr>
        <w:t>, which</w:t>
      </w:r>
      <w:r w:rsidRPr="00DA4803">
        <w:rPr>
          <w:rFonts w:eastAsia="Times New Roman"/>
          <w:snapToGrid w:val="0"/>
          <w:szCs w:val="20"/>
        </w:rPr>
        <w:t xml:space="preserve"> may be reconstructed, repaired, and maintained. New groins may </w:t>
      </w:r>
      <w:r w:rsidRPr="00E444B4">
        <w:rPr>
          <w:rFonts w:eastAsia="Times New Roman"/>
          <w:strike/>
          <w:snapToGrid w:val="0"/>
          <w:szCs w:val="20"/>
        </w:rPr>
        <w:t>only</w:t>
      </w:r>
      <w:r w:rsidRPr="00DA4803">
        <w:rPr>
          <w:rFonts w:eastAsia="Times New Roman"/>
          <w:snapToGrid w:val="0"/>
          <w:szCs w:val="20"/>
        </w:rPr>
        <w:t xml:space="preserve"> be allowed </w:t>
      </w:r>
      <w:r w:rsidRPr="00DA4803">
        <w:rPr>
          <w:rFonts w:eastAsia="Times New Roman"/>
          <w:snapToGrid w:val="0"/>
          <w:szCs w:val="20"/>
          <w:u w:val="single"/>
        </w:rPr>
        <w:t>only</w:t>
      </w:r>
      <w:r w:rsidRPr="00DA4803">
        <w:rPr>
          <w:rFonts w:eastAsia="Times New Roman"/>
          <w:snapToGrid w:val="0"/>
          <w:szCs w:val="20"/>
        </w:rPr>
        <w:t xml:space="preserve"> on beaches that have high erosion rates with erosion threatening existing development or public parks. In addition to these requirements, new groins may be constructed</w:t>
      </w:r>
      <w:r w:rsidRPr="00DA4803">
        <w:rPr>
          <w:rFonts w:eastAsia="Times New Roman"/>
          <w:snapToGrid w:val="0"/>
          <w:szCs w:val="20"/>
          <w:u w:val="single"/>
        </w:rPr>
        <w:t>,</w:t>
      </w:r>
      <w:r w:rsidRPr="00DA4803">
        <w:rPr>
          <w:rFonts w:eastAsia="Times New Roman"/>
          <w:snapToGrid w:val="0"/>
          <w:szCs w:val="20"/>
        </w:rPr>
        <w:t xml:space="preserve"> and existing groins may be reconstructed</w:t>
      </w:r>
      <w:r w:rsidRPr="00DA4803">
        <w:rPr>
          <w:rFonts w:eastAsia="Times New Roman"/>
          <w:snapToGrid w:val="0"/>
          <w:szCs w:val="20"/>
          <w:u w:val="single"/>
        </w:rPr>
        <w:t>,</w:t>
      </w:r>
      <w:r w:rsidRPr="00DA4803">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(a)</w:t>
      </w:r>
      <w:r w:rsidRPr="00DA4803">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establishment of new monuments;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determination of the annual volume and transport of sand;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(iii)</w:t>
      </w:r>
      <w:r w:rsidRPr="00DA4803">
        <w:rPr>
          <w:rFonts w:eastAsia="Times New Roman"/>
          <w:snapToGrid w:val="0"/>
          <w:szCs w:val="20"/>
        </w:rPr>
        <w:tab/>
        <w:t>annual aerial photographs.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Subsequent monitoring requirements must be based on results from the first five</w:t>
      </w:r>
      <w:r>
        <w:rPr>
          <w:rFonts w:eastAsia="Times New Roman"/>
          <w:snapToGrid w:val="0"/>
          <w:szCs w:val="20"/>
        </w:rPr>
        <w:noBreakHyphen/>
      </w:r>
      <w:r w:rsidRPr="00DA4803">
        <w:rPr>
          <w:rFonts w:eastAsia="Times New Roman"/>
          <w:snapToGrid w:val="0"/>
          <w:szCs w:val="20"/>
        </w:rPr>
        <w:t>year report.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(b)</w:t>
      </w:r>
      <w:r w:rsidRPr="00DA4803">
        <w:rPr>
          <w:rFonts w:eastAsia="Times New Roman"/>
          <w:snapToGrid w:val="0"/>
          <w:szCs w:val="20"/>
        </w:rPr>
        <w:tab/>
        <w:t xml:space="preserve">Groins may </w:t>
      </w:r>
      <w:r w:rsidRPr="00E444B4">
        <w:rPr>
          <w:rFonts w:eastAsia="Times New Roman"/>
          <w:strike/>
          <w:snapToGrid w:val="0"/>
          <w:szCs w:val="20"/>
        </w:rPr>
        <w:t>only</w:t>
      </w:r>
      <w:r w:rsidRPr="00DA4803">
        <w:rPr>
          <w:rFonts w:eastAsia="Times New Roman"/>
          <w:snapToGrid w:val="0"/>
          <w:szCs w:val="20"/>
        </w:rPr>
        <w:t xml:space="preserve"> be permitted </w:t>
      </w:r>
      <w:r w:rsidRPr="00DA4803">
        <w:rPr>
          <w:rFonts w:eastAsia="Times New Roman"/>
          <w:snapToGrid w:val="0"/>
          <w:szCs w:val="20"/>
          <w:u w:val="single"/>
        </w:rPr>
        <w:t>only</w:t>
      </w:r>
      <w:r w:rsidRPr="00DA4803">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w:t>
      </w:r>
      <w:r w:rsidRPr="00DA4803">
        <w:rPr>
          <w:rFonts w:eastAsia="Times New Roman"/>
          <w:snapToGrid w:val="0"/>
          <w:szCs w:val="20"/>
        </w:rPr>
        <w:lastRenderedPageBreak/>
        <w:t>letter of credit that is reasonably estimated to cover the cost of reconstructing or removing the groin and/or restoring the affected beach through renourishment pursuant to subitem (c).</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(c)</w:t>
      </w:r>
      <w:r w:rsidRPr="00DA4803">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E444B4">
        <w:rPr>
          <w:rFonts w:eastAsia="Times New Roman"/>
          <w:strike/>
          <w:snapToGrid w:val="0"/>
          <w:szCs w:val="20"/>
        </w:rPr>
        <w:t>must</w:t>
      </w:r>
      <w:r w:rsidRPr="00DA4803">
        <w:rPr>
          <w:rFonts w:eastAsia="Times New Roman"/>
          <w:snapToGrid w:val="0"/>
          <w:szCs w:val="20"/>
        </w:rPr>
        <w:t xml:space="preserve"> </w:t>
      </w:r>
      <w:r w:rsidRPr="00DA4803">
        <w:rPr>
          <w:rFonts w:eastAsia="Times New Roman"/>
          <w:snapToGrid w:val="0"/>
          <w:szCs w:val="20"/>
          <w:u w:val="single"/>
        </w:rPr>
        <w:t>shall</w:t>
      </w:r>
      <w:r w:rsidRPr="00DA4803">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(d)</w:t>
      </w:r>
      <w:r w:rsidRPr="00DA4803">
        <w:rPr>
          <w:rFonts w:eastAsia="Times New Roman"/>
          <w:snapToGrid w:val="0"/>
          <w:szCs w:val="20"/>
        </w:rPr>
        <w:tab/>
        <w:t>Adjacent and downdrift communities and municipalities must be notified by the department of all applications for a groin project.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(e)</w:t>
      </w:r>
      <w:r w:rsidRPr="00DA4803">
        <w:rPr>
          <w:rFonts w:eastAsia="Times New Roman"/>
          <w:snapToGrid w:val="0"/>
          <w:szCs w:val="20"/>
        </w:rPr>
        <w:tab/>
        <w:t xml:space="preserve">Nothing in </w:t>
      </w:r>
      <w:r w:rsidRPr="00E444B4">
        <w:rPr>
          <w:rFonts w:eastAsia="Times New Roman"/>
          <w:strike/>
          <w:snapToGrid w:val="0"/>
          <w:szCs w:val="20"/>
        </w:rPr>
        <w:t>the</w:t>
      </w:r>
      <w:r w:rsidRPr="00DA4803">
        <w:rPr>
          <w:rFonts w:eastAsia="Times New Roman"/>
          <w:snapToGrid w:val="0"/>
          <w:szCs w:val="20"/>
        </w:rPr>
        <w:t xml:space="preserve"> </w:t>
      </w:r>
      <w:r w:rsidRPr="00DA4803">
        <w:rPr>
          <w:rFonts w:eastAsia="Times New Roman"/>
          <w:snapToGrid w:val="0"/>
          <w:szCs w:val="20"/>
          <w:u w:val="single"/>
        </w:rPr>
        <w:t>this</w:t>
      </w:r>
      <w:r w:rsidRPr="00DA4803">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the reconstruction or removal of a groin;  and/or</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restoration of the adversely affected beach and adjacent real estate through renourishment pursuant to subitem (c)</w:t>
      </w:r>
      <w:r w:rsidRPr="00DA4803">
        <w:rPr>
          <w:rFonts w:eastAsia="Times New Roman"/>
          <w:snapToGrid w:val="0"/>
          <w:szCs w:val="20"/>
          <w:u w:val="single"/>
        </w:rPr>
        <w:t>, or both</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An adjacent or downdrift property owner </w:t>
      </w:r>
      <w:r w:rsidRPr="00E444B4">
        <w:rPr>
          <w:rFonts w:eastAsia="Times New Roman"/>
          <w:strike/>
          <w:snapToGrid w:val="0"/>
          <w:szCs w:val="20"/>
        </w:rPr>
        <w:t>that</w:t>
      </w:r>
      <w:r w:rsidRPr="00DA4803">
        <w:rPr>
          <w:rFonts w:eastAsia="Times New Roman"/>
          <w:snapToGrid w:val="0"/>
          <w:szCs w:val="20"/>
        </w:rPr>
        <w:t xml:space="preserve"> </w:t>
      </w:r>
      <w:r w:rsidRPr="00DA4803">
        <w:rPr>
          <w:rFonts w:eastAsia="Times New Roman"/>
          <w:snapToGrid w:val="0"/>
          <w:szCs w:val="20"/>
          <w:u w:val="single"/>
        </w:rPr>
        <w:t>who</w:t>
      </w:r>
      <w:r w:rsidRPr="00DA4803">
        <w:rPr>
          <w:rFonts w:eastAsia="Times New Roman"/>
          <w:snapToGrid w:val="0"/>
          <w:szCs w:val="20"/>
        </w:rPr>
        <w:t xml:space="preserve"> claims a groin has caused or is causing an adverse impact shall notify the department of </w:t>
      </w:r>
      <w:r w:rsidRPr="00E444B4">
        <w:rPr>
          <w:rFonts w:eastAsia="Times New Roman"/>
          <w:strike/>
          <w:snapToGrid w:val="0"/>
          <w:szCs w:val="20"/>
        </w:rPr>
        <w:t>such</w:t>
      </w:r>
      <w:r w:rsidRPr="00DA4803">
        <w:rPr>
          <w:rFonts w:eastAsia="Times New Roman"/>
          <w:snapToGrid w:val="0"/>
          <w:szCs w:val="20"/>
        </w:rPr>
        <w:t xml:space="preserve"> </w:t>
      </w:r>
      <w:r w:rsidRPr="00DA4803">
        <w:rPr>
          <w:rFonts w:eastAsia="Times New Roman"/>
          <w:snapToGrid w:val="0"/>
          <w:szCs w:val="20"/>
          <w:u w:val="single"/>
        </w:rPr>
        <w:t>the</w:t>
      </w:r>
      <w:r w:rsidRPr="00DA4803">
        <w:rPr>
          <w:rFonts w:eastAsia="Times New Roman"/>
          <w:snapToGrid w:val="0"/>
          <w:szCs w:val="20"/>
        </w:rPr>
        <w:t xml:space="preserve"> impact. The department shall render an initial determination within sixty days of such notification. Final agency action </w:t>
      </w:r>
      <w:r w:rsidRPr="00E444B4">
        <w:rPr>
          <w:rFonts w:eastAsia="Times New Roman"/>
          <w:strike/>
          <w:snapToGrid w:val="0"/>
          <w:szCs w:val="20"/>
        </w:rPr>
        <w:t>shall</w:t>
      </w:r>
      <w:r w:rsidRPr="00DA4803">
        <w:rPr>
          <w:rFonts w:eastAsia="Times New Roman"/>
          <w:snapToGrid w:val="0"/>
          <w:szCs w:val="20"/>
        </w:rPr>
        <w:t xml:space="preserve"> </w:t>
      </w:r>
      <w:r w:rsidRPr="00DA4803">
        <w:rPr>
          <w:rFonts w:eastAsia="Times New Roman"/>
          <w:snapToGrid w:val="0"/>
          <w:szCs w:val="20"/>
          <w:u w:val="single"/>
        </w:rPr>
        <w:t>must</w:t>
      </w:r>
      <w:r w:rsidRPr="00DA4803">
        <w:rPr>
          <w:rFonts w:eastAsia="Times New Roman"/>
          <w:snapToGrid w:val="0"/>
          <w:szCs w:val="20"/>
        </w:rPr>
        <w:t xml:space="preserve"> be rendered within twelve months of notification. An aggrieved party may appeal the decision pursuant to the Administrative Procedures Act.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 permit must be obtained from the department for items (2) through (8). However, no permit is required </w:t>
      </w:r>
      <w:r w:rsidRPr="00E444B4">
        <w:rPr>
          <w:rFonts w:eastAsia="Times New Roman"/>
          <w:strike/>
          <w:snapToGrid w:val="0"/>
          <w:szCs w:val="20"/>
        </w:rPr>
        <w:t>under</w:t>
      </w:r>
      <w:r w:rsidRPr="00DA4803">
        <w:rPr>
          <w:rFonts w:eastAsia="Times New Roman"/>
          <w:snapToGrid w:val="0"/>
          <w:szCs w:val="20"/>
        </w:rPr>
        <w:t xml:space="preserve"> </w:t>
      </w:r>
      <w:r w:rsidRPr="00DA4803">
        <w:rPr>
          <w:rFonts w:eastAsia="Times New Roman"/>
          <w:snapToGrid w:val="0"/>
          <w:szCs w:val="20"/>
          <w:u w:val="single"/>
        </w:rPr>
        <w:t>pursuant to</w:t>
      </w:r>
      <w:r w:rsidRPr="00DA4803">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rFonts w:eastAsia="Times New Roman"/>
          <w:snapToGrid w:val="0"/>
          <w:szCs w:val="20"/>
        </w:rPr>
        <w:noBreakHyphen/>
      </w:r>
      <w:r w:rsidRPr="00DA4803">
        <w:rPr>
          <w:rFonts w:eastAsia="Times New Roman"/>
          <w:snapToGrid w:val="0"/>
          <w:szCs w:val="20"/>
        </w:rPr>
        <w:t>five percent of the total surface area of the fishing pier or be constructed at a location further seaward than one</w:t>
      </w:r>
      <w:r>
        <w:rPr>
          <w:rFonts w:eastAsia="Times New Roman"/>
          <w:snapToGrid w:val="0"/>
          <w:szCs w:val="20"/>
        </w:rPr>
        <w:noBreakHyphen/>
      </w:r>
      <w:r w:rsidRPr="00DA4803">
        <w:rPr>
          <w:rFonts w:eastAsia="Times New Roman"/>
          <w:snapToGrid w:val="0"/>
          <w:szCs w:val="20"/>
        </w:rPr>
        <w:t xml:space="preserve">half of the length of the fishing pier as measured from the baseline. </w:t>
      </w:r>
      <w:r w:rsidRPr="00DA4803">
        <w:rPr>
          <w:rFonts w:eastAsia="Times New Roman"/>
          <w:snapToGrid w:val="0"/>
          <w:szCs w:val="20"/>
          <w:u w:val="single"/>
        </w:rPr>
        <w:t>The department</w:t>
      </w:r>
      <w:r>
        <w:rPr>
          <w:rFonts w:eastAsia="Times New Roman"/>
          <w:snapToGrid w:val="0"/>
          <w:szCs w:val="20"/>
          <w:u w:val="single"/>
        </w:rPr>
        <w:t>,</w:t>
      </w:r>
      <w:r w:rsidRPr="00DA4803">
        <w:rPr>
          <w:rFonts w:eastAsia="Times New Roman"/>
          <w:snapToGrid w:val="0"/>
          <w:szCs w:val="20"/>
          <w:u w:val="single"/>
        </w:rPr>
        <w:t xml:space="preserve"> in its discretion, may issue general permits for items </w:t>
      </w:r>
      <w:r>
        <w:rPr>
          <w:rFonts w:eastAsia="Times New Roman"/>
          <w:snapToGrid w:val="0"/>
          <w:szCs w:val="20"/>
          <w:u w:val="single"/>
        </w:rPr>
        <w:t>(2)</w:t>
      </w:r>
      <w:r w:rsidRPr="00DA4803">
        <w:rPr>
          <w:rFonts w:eastAsia="Times New Roman"/>
          <w:snapToGrid w:val="0"/>
          <w:szCs w:val="20"/>
          <w:u w:val="single"/>
        </w:rPr>
        <w:t xml:space="preserve"> and (5) where </w:t>
      </w:r>
      <w:r w:rsidRPr="00DA4803">
        <w:rPr>
          <w:rFonts w:eastAsia="Times New Roman"/>
          <w:snapToGrid w:val="0"/>
          <w:szCs w:val="20"/>
          <w:u w:val="single"/>
        </w:rPr>
        <w:lastRenderedPageBreak/>
        <w:t>issuance of the general permit would advance the implementation and accomplishment of the goals and purposes contained in Sections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250 through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360.</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3.</w:t>
      </w:r>
      <w:r w:rsidRPr="00271751">
        <w:rPr>
          <w:rFonts w:eastAsia="Times New Roman"/>
          <w:snapToGrid w:val="0"/>
          <w:szCs w:val="20"/>
        </w:rPr>
        <w:tab/>
      </w:r>
      <w:r>
        <w:rPr>
          <w:rFonts w:eastAsia="Times New Roman"/>
          <w:snapToGrid w:val="0"/>
          <w:szCs w:val="20"/>
        </w:rPr>
        <w:t>Section 48-39-280 of the 1976 Code is amended to read:</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“Section 48</w:t>
      </w:r>
      <w:r w:rsidRPr="00271751">
        <w:rPr>
          <w:rFonts w:eastAsia="Times New Roman"/>
          <w:snapToGrid w:val="0"/>
          <w:szCs w:val="20"/>
        </w:rPr>
        <w:noBreakHyphen/>
        <w:t>39</w:t>
      </w:r>
      <w:r w:rsidRPr="00271751">
        <w:rPr>
          <w:rFonts w:eastAsia="Times New Roman"/>
          <w:snapToGrid w:val="0"/>
          <w:szCs w:val="20"/>
        </w:rPr>
        <w:noBreakHyphen/>
        <w:t>280.</w:t>
      </w:r>
      <w:r w:rsidRPr="00271751">
        <w:rPr>
          <w:rFonts w:eastAsia="Times New Roman"/>
          <w:snapToGrid w:val="0"/>
          <w:szCs w:val="20"/>
        </w:rPr>
        <w:tab/>
        <w:t>(A)</w:t>
      </w:r>
      <w:r w:rsidRPr="00271751">
        <w:rPr>
          <w:rFonts w:eastAsia="Times New Roman"/>
          <w:snapToGrid w:val="0"/>
          <w:szCs w:val="20"/>
        </w:rPr>
        <w:tab/>
        <w:t>A forty</w:t>
      </w:r>
      <w:r w:rsidRPr="00271751">
        <w:rPr>
          <w:rFonts w:eastAsia="Times New Roman"/>
          <w:snapToGrid w:val="0"/>
          <w:szCs w:val="20"/>
        </w:rPr>
        <w:noBreakHyphen/>
        <w:t xml:space="preserve">year policy of retreat from the shoreline is established. The department must implement this policy and </w:t>
      </w:r>
      <w:r w:rsidRPr="00090D08">
        <w:rPr>
          <w:rFonts w:eastAsia="Times New Roman"/>
          <w:strike/>
          <w:snapToGrid w:val="0"/>
          <w:szCs w:val="20"/>
        </w:rPr>
        <w:t>must</w:t>
      </w:r>
      <w:r w:rsidRPr="00271751">
        <w:rPr>
          <w:rFonts w:eastAsia="Times New Roman"/>
          <w:snapToGrid w:val="0"/>
          <w:szCs w:val="20"/>
        </w:rPr>
        <w:t xml:space="preserve"> utilize the best available scientific and historical data in the implementation. The department must establish a baseline </w:t>
      </w:r>
      <w:r w:rsidRPr="0041360F">
        <w:rPr>
          <w:rFonts w:eastAsia="Times New Roman"/>
          <w:strike/>
          <w:snapToGrid w:val="0"/>
          <w:szCs w:val="20"/>
        </w:rPr>
        <w:t>which</w:t>
      </w:r>
      <w:r w:rsidRPr="00271751">
        <w:rPr>
          <w:rFonts w:eastAsia="Times New Roman"/>
          <w:snapToGrid w:val="0"/>
          <w:szCs w:val="20"/>
        </w:rPr>
        <w:t xml:space="preserve"> </w:t>
      </w:r>
      <w:r w:rsidRPr="00271751">
        <w:rPr>
          <w:rFonts w:eastAsia="Times New Roman"/>
          <w:snapToGrid w:val="0"/>
          <w:szCs w:val="20"/>
          <w:u w:val="single"/>
        </w:rPr>
        <w:t>that</w:t>
      </w:r>
      <w:r w:rsidRPr="00271751">
        <w:rPr>
          <w:rFonts w:eastAsia="Times New Roman"/>
          <w:snapToGrid w:val="0"/>
          <w:szCs w:val="20"/>
        </w:rPr>
        <w:t xml:space="preserve"> parallels the shoreline for each standard erosion zone and each inlet erosion zone. </w:t>
      </w:r>
      <w:r w:rsidRPr="00271751">
        <w:rPr>
          <w:rFonts w:eastAsia="Times New Roman"/>
          <w:snapToGrid w:val="0"/>
          <w:szCs w:val="20"/>
          <w:u w:val="single"/>
        </w:rPr>
        <w:t>Subject to Section 48</w:t>
      </w:r>
      <w:r w:rsidRPr="00271751">
        <w:rPr>
          <w:rFonts w:eastAsia="Times New Roman"/>
          <w:snapToGrid w:val="0"/>
          <w:szCs w:val="20"/>
          <w:u w:val="single"/>
        </w:rPr>
        <w:noBreakHyphen/>
        <w:t>39</w:t>
      </w:r>
      <w:r w:rsidRPr="00271751">
        <w:rPr>
          <w:rFonts w:eastAsia="Times New Roman"/>
          <w:snapToGrid w:val="0"/>
          <w:szCs w:val="20"/>
          <w:u w:val="single"/>
        </w:rPr>
        <w:noBreakHyphen/>
        <w:t xml:space="preserve">290(D), the baseline established pursuant to this section must not move seaward from its position on </w:t>
      </w:r>
      <w:r>
        <w:rPr>
          <w:rFonts w:eastAsia="Times New Roman"/>
          <w:snapToGrid w:val="0"/>
          <w:szCs w:val="20"/>
          <w:u w:val="single"/>
        </w:rPr>
        <w:t>December 31, 2017.</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(1)</w:t>
      </w:r>
      <w:r w:rsidRPr="00271751">
        <w:rPr>
          <w:rFonts w:eastAsia="Times New Roman"/>
          <w:snapToGrid w:val="0"/>
          <w:szCs w:val="20"/>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(2)</w:t>
      </w:r>
      <w:r w:rsidRPr="00271751">
        <w:rPr>
          <w:rFonts w:eastAsia="Times New Roman"/>
          <w:snapToGrid w:val="0"/>
          <w:szCs w:val="20"/>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w:t>
      </w:r>
      <w:r w:rsidRPr="00090D08">
        <w:rPr>
          <w:rFonts w:eastAsia="Times New Roman"/>
          <w:snapToGrid w:val="0"/>
          <w:szCs w:val="20"/>
        </w:rPr>
        <w:t>must</w:t>
      </w:r>
      <w:r w:rsidRPr="00271751">
        <w:rPr>
          <w:rFonts w:eastAsia="Times New Roman"/>
          <w:snapToGrid w:val="0"/>
          <w:szCs w:val="20"/>
        </w:rPr>
        <w:t xml:space="preserve"> consider historical inlet migration, inlet stability, channel and ebb tidal delta changes, the effects of sediment bypassing on shorelines adjacent to the inlets, and the effects of nearby beach restoration projects on inlet sediment budgets.</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(3)</w:t>
      </w:r>
      <w:r w:rsidRPr="00271751">
        <w:rPr>
          <w:rFonts w:eastAsia="Times New Roman"/>
          <w:snapToGrid w:val="0"/>
          <w:szCs w:val="20"/>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lastRenderedPageBreak/>
        <w:tab/>
      </w:r>
      <w:r w:rsidRPr="00271751">
        <w:rPr>
          <w:rFonts w:eastAsia="Times New Roman"/>
          <w:snapToGrid w:val="0"/>
          <w:szCs w:val="20"/>
        </w:rPr>
        <w:tab/>
      </w:r>
      <w:r w:rsidRPr="009C4E8A">
        <w:rPr>
          <w:rFonts w:eastAsia="Times New Roman"/>
          <w:strike/>
          <w:snapToGrid w:val="0"/>
          <w:szCs w:val="20"/>
        </w:rPr>
        <w:t>(4)</w:t>
      </w:r>
      <w:r w:rsidRPr="00271751">
        <w:rPr>
          <w:rFonts w:eastAsia="Times New Roman"/>
          <w:snapToGrid w:val="0"/>
          <w:szCs w:val="20"/>
        </w:rPr>
        <w:tab/>
      </w:r>
      <w:r w:rsidRPr="009C4E8A">
        <w:rPr>
          <w:rFonts w:eastAsia="Times New Roman"/>
          <w:strike/>
          <w:snapToGrid w:val="0"/>
          <w:szCs w:val="20"/>
        </w:rPr>
        <w:t>Notwithstanding any other provision of this section, where a department</w:t>
      </w:r>
      <w:r w:rsidRPr="009C4E8A">
        <w:rPr>
          <w:rFonts w:eastAsia="Times New Roman"/>
          <w:strike/>
          <w:snapToGrid w:val="0"/>
          <w:szCs w:val="20"/>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9C4E8A">
        <w:rPr>
          <w:rFonts w:eastAsia="Times New Roman"/>
          <w:strike/>
          <w:snapToGrid w:val="0"/>
          <w:szCs w:val="20"/>
        </w:rPr>
        <w:noBreakHyphen/>
        <w:t>39</w:t>
      </w:r>
      <w:r w:rsidRPr="009C4E8A">
        <w:rPr>
          <w:rFonts w:eastAsia="Times New Roman"/>
          <w:strike/>
          <w:snapToGrid w:val="0"/>
          <w:szCs w:val="20"/>
        </w:rPr>
        <w:noBreakHyphen/>
        <w:t>280(A)(1) by showing that the beach has been stabilized by department</w:t>
      </w:r>
      <w:r w:rsidRPr="009C4E8A">
        <w:rPr>
          <w:rFonts w:eastAsia="Times New Roman"/>
          <w:strike/>
          <w:snapToGrid w:val="0"/>
          <w:szCs w:val="20"/>
        </w:rPr>
        <w:noBreakHyphen/>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(B)</w:t>
      </w:r>
      <w:r w:rsidRPr="00271751">
        <w:rPr>
          <w:rFonts w:eastAsia="Times New Roman"/>
          <w:snapToGrid w:val="0"/>
          <w:szCs w:val="20"/>
        </w:rPr>
        <w:tab/>
        <w:t xml:space="preserve">To implement the retreat policy provided for in subsection (A), a setback line must be established landward of the baseline a distance </w:t>
      </w:r>
      <w:r w:rsidRPr="00396B60">
        <w:rPr>
          <w:rFonts w:eastAsia="Times New Roman"/>
          <w:snapToGrid w:val="0"/>
          <w:szCs w:val="20"/>
        </w:rPr>
        <w:t>which</w:t>
      </w:r>
      <w:r>
        <w:rPr>
          <w:rFonts w:eastAsia="Times New Roman"/>
          <w:snapToGrid w:val="0"/>
          <w:szCs w:val="20"/>
        </w:rPr>
        <w:t xml:space="preserve"> </w:t>
      </w:r>
      <w:r w:rsidRPr="00271751">
        <w:rPr>
          <w:rFonts w:eastAsia="Times New Roman"/>
          <w:snapToGrid w:val="0"/>
          <w:szCs w:val="20"/>
        </w:rPr>
        <w:t>is forty times the average annual erosion rate or not less than twenty feet from the baseline for each erosion zone based upon the best historical and scientific data adopted by the department as a part of the State Comprehensive Beach Management Plan.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(C)</w:t>
      </w:r>
      <w:r w:rsidRPr="00271751">
        <w:rPr>
          <w:rFonts w:eastAsia="Times New Roman"/>
          <w:snapToGrid w:val="0"/>
          <w:szCs w:val="20"/>
        </w:rPr>
        <w:tab/>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772971">
        <w:rPr>
          <w:rFonts w:eastAsia="Times New Roman"/>
          <w:snapToGrid w:val="0"/>
          <w:szCs w:val="20"/>
        </w:rPr>
        <w:t xml:space="preserve"> After that revision, the baseline and setback line must be revised not less than every eight years but not more than every ten years after each preceding revision.</w:t>
      </w:r>
      <w:r>
        <w:rPr>
          <w:rFonts w:eastAsia="Times New Roman"/>
          <w:snapToGrid w:val="0"/>
          <w:szCs w:val="20"/>
        </w:rPr>
        <w:t xml:space="preserve"> </w:t>
      </w:r>
      <w:r w:rsidRPr="00772971">
        <w:rPr>
          <w:rFonts w:eastAsia="Times New Roman"/>
          <w:snapToGrid w:val="0"/>
          <w:szCs w:val="20"/>
          <w:u w:val="single"/>
        </w:rPr>
        <w:t>T</w:t>
      </w:r>
      <w:r>
        <w:rPr>
          <w:rFonts w:eastAsia="Times New Roman"/>
          <w:snapToGrid w:val="0"/>
          <w:szCs w:val="20"/>
          <w:u w:val="single"/>
        </w:rPr>
        <w:t>he department shall establish the baseline and setback line for all locations where the baseline and setback line were established on or before January 31, 2012. Nothing in this section allows the seward movement of the baseline after December 31, 2017.</w:t>
      </w:r>
      <w:r>
        <w:rPr>
          <w:rFonts w:eastAsia="Times New Roman"/>
          <w:snapToGrid w:val="0"/>
          <w:szCs w:val="20"/>
        </w:rPr>
        <w:t xml:space="preserve"> </w:t>
      </w:r>
      <w:r w:rsidRPr="00271751">
        <w:rPr>
          <w:rFonts w:eastAsia="Times New Roman"/>
          <w:snapToGrid w:val="0"/>
          <w:szCs w:val="20"/>
        </w:rPr>
        <w:t xml:space="preserve">In the establishment and revision of the baseline and </w:t>
      </w:r>
      <w:r w:rsidRPr="00271751">
        <w:rPr>
          <w:rFonts w:eastAsia="Times New Roman"/>
          <w:snapToGrid w:val="0"/>
          <w:szCs w:val="20"/>
        </w:rPr>
        <w:lastRenderedPageBreak/>
        <w:t>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(D)</w:t>
      </w:r>
      <w:r w:rsidRPr="00271751">
        <w:rPr>
          <w:rFonts w:eastAsia="Times New Roman"/>
          <w:snapToGrid w:val="0"/>
          <w:szCs w:val="20"/>
        </w:rPr>
        <w:tab/>
        <w:t>In order to locate th</w:t>
      </w:r>
      <w:r>
        <w:rPr>
          <w:rFonts w:eastAsia="Times New Roman"/>
          <w:snapToGrid w:val="0"/>
          <w:szCs w:val="20"/>
        </w:rPr>
        <w:t>e baseline and the setback line</w:t>
      </w:r>
      <w:r w:rsidRPr="00271751">
        <w:rPr>
          <w:rFonts w:eastAsia="Times New Roman"/>
          <w:snapToGrid w:val="0"/>
          <w:szCs w:val="20"/>
        </w:rPr>
        <w:t xml:space="preserve">, the department </w:t>
      </w:r>
      <w:r w:rsidRPr="00090D08">
        <w:rPr>
          <w:rFonts w:eastAsia="Times New Roman"/>
          <w:snapToGrid w:val="0"/>
          <w:szCs w:val="20"/>
        </w:rPr>
        <w:t>must</w:t>
      </w:r>
      <w:r w:rsidRPr="00271751">
        <w:rPr>
          <w:rFonts w:eastAsia="Times New Roman"/>
          <w:snapToGrid w:val="0"/>
          <w:szCs w:val="20"/>
        </w:rPr>
        <w:t xml:space="preserve"> establish monumented and controlled survey points in each county fronting the Atlantic Ocean. The department </w:t>
      </w:r>
      <w:r w:rsidRPr="00090D08">
        <w:rPr>
          <w:rFonts w:eastAsia="Times New Roman"/>
          <w:snapToGrid w:val="0"/>
          <w:szCs w:val="20"/>
        </w:rPr>
        <w:t>must</w:t>
      </w:r>
      <w:r w:rsidRPr="00271751">
        <w:rPr>
          <w:rFonts w:eastAsia="Times New Roman"/>
          <w:snapToGrid w:val="0"/>
          <w:szCs w:val="20"/>
        </w:rPr>
        <w:t xml:space="preserve"> acquire sufficient surveyed topographical information on which to locate the baseline. Surveyed topographical data typically must be gathered at two thousand foot intervals. However, in areas subject to significant near</w:t>
      </w:r>
      <w:r w:rsidRPr="00271751">
        <w:rPr>
          <w:rFonts w:eastAsia="Times New Roman"/>
          <w:snapToGrid w:val="0"/>
          <w:szCs w:val="20"/>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271751">
        <w:rPr>
          <w:rFonts w:eastAsia="Times New Roman"/>
          <w:snapToGrid w:val="0"/>
          <w:szCs w:val="20"/>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(E)</w:t>
      </w:r>
      <w:r w:rsidRPr="00271751">
        <w:rPr>
          <w:rFonts w:eastAsia="Times New Roman"/>
          <w:snapToGrid w:val="0"/>
          <w:szCs w:val="20"/>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271751">
        <w:rPr>
          <w:rFonts w:eastAsia="Times New Roman"/>
          <w:snapToGrid w:val="0"/>
          <w:szCs w:val="20"/>
        </w:rPr>
        <w:noBreakHyphen/>
        <w:t>1</w:t>
      </w:r>
      <w:r w:rsidRPr="00271751">
        <w:rPr>
          <w:rFonts w:eastAsia="Times New Roman"/>
          <w:snapToGrid w:val="0"/>
          <w:szCs w:val="20"/>
        </w:rPr>
        <w:noBreakHyphen/>
        <w:t>60</w:t>
      </w:r>
      <w:r>
        <w:rPr>
          <w:rFonts w:eastAsia="Times New Roman"/>
          <w:snapToGrid w:val="0"/>
          <w:szCs w:val="20"/>
          <w:u w:val="single"/>
        </w:rPr>
        <w:t>,</w:t>
      </w:r>
      <w:r w:rsidRPr="00271751">
        <w:rPr>
          <w:rFonts w:eastAsia="Times New Roman"/>
          <w:snapToGrid w:val="0"/>
          <w:szCs w:val="20"/>
        </w:rPr>
        <w:t xml:space="preserve"> and the final decision of the board may be appealed to the Administrative Law Court</w:t>
      </w:r>
      <w:r>
        <w:rPr>
          <w:rFonts w:eastAsia="Times New Roman"/>
          <w:snapToGrid w:val="0"/>
          <w:szCs w:val="20"/>
          <w:u w:val="single"/>
        </w:rPr>
        <w:t>,</w:t>
      </w:r>
      <w:r w:rsidRPr="00271751">
        <w:rPr>
          <w:rFonts w:eastAsia="Times New Roman"/>
          <w:snapToGrid w:val="0"/>
          <w:szCs w:val="20"/>
        </w:rPr>
        <w:t xml:space="preserve"> as provided in Chapter 23 of Title 1.”</w:t>
      </w:r>
    </w:p>
    <w:p w:rsidR="00BE0F7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00756BAE">
        <w:rPr>
          <w:rFonts w:eastAsia="Times New Roman"/>
          <w:snapToGrid w:val="0"/>
          <w:szCs w:val="20"/>
        </w:rPr>
        <w:t>.</w:t>
      </w:r>
      <w:r w:rsidR="00756BAE">
        <w:rPr>
          <w:rFonts w:eastAsia="Times New Roman"/>
          <w:snapToGrid w:val="0"/>
          <w:szCs w:val="20"/>
        </w:rPr>
        <w:tab/>
      </w:r>
      <w:r w:rsidR="00756BAE" w:rsidRPr="00AC7175">
        <w:rPr>
          <w:rFonts w:eastAsia="Times New Roman"/>
          <w:snapToGrid w:val="0"/>
          <w:szCs w:val="20"/>
        </w:rPr>
        <w:t>Section 48</w:t>
      </w:r>
      <w:r w:rsidR="00756BAE">
        <w:rPr>
          <w:rFonts w:eastAsia="Times New Roman"/>
          <w:snapToGrid w:val="0"/>
          <w:szCs w:val="20"/>
        </w:rPr>
        <w:noBreakHyphen/>
      </w:r>
      <w:r w:rsidR="00756BAE" w:rsidRPr="00AC7175">
        <w:rPr>
          <w:rFonts w:eastAsia="Times New Roman"/>
          <w:snapToGrid w:val="0"/>
          <w:szCs w:val="20"/>
        </w:rPr>
        <w:t>39</w:t>
      </w:r>
      <w:r w:rsidR="00756BAE">
        <w:rPr>
          <w:rFonts w:eastAsia="Times New Roman"/>
          <w:snapToGrid w:val="0"/>
          <w:szCs w:val="20"/>
        </w:rPr>
        <w:noBreakHyphen/>
      </w:r>
      <w:r w:rsidR="00756BAE" w:rsidRPr="00AC7175">
        <w:rPr>
          <w:rFonts w:eastAsia="Times New Roman"/>
          <w:snapToGrid w:val="0"/>
          <w:szCs w:val="20"/>
        </w:rPr>
        <w:t>290(D)(2) of the 1976 Code is amended to read:</w:t>
      </w:r>
    </w:p>
    <w:p w:rsidR="00756BAE" w:rsidRPr="00AC7175"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C7175">
        <w:rPr>
          <w:rFonts w:eastAsia="Times New Roman"/>
          <w:snapToGrid w:val="0"/>
          <w:szCs w:val="20"/>
        </w:rPr>
        <w:lastRenderedPageBreak/>
        <w:tab/>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w:t>
      </w:r>
      <w:r w:rsidR="00BB01C2">
        <w:rPr>
          <w:rFonts w:eastAsia="Times New Roman"/>
          <w:snapToGrid w:val="0"/>
          <w:szCs w:val="20"/>
        </w:rPr>
        <w:t>.</w:t>
      </w:r>
      <w:r w:rsidR="00BB01C2">
        <w:rPr>
          <w:rFonts w:eastAsia="Times New Roman"/>
          <w:snapToGrid w:val="0"/>
          <w:szCs w:val="20"/>
        </w:rPr>
        <w:tab/>
      </w:r>
      <w:r w:rsidRPr="00AC7175">
        <w:rPr>
          <w:rFonts w:eastAsia="Times New Roman"/>
          <w:snapToGrid w:val="0"/>
          <w:szCs w:val="20"/>
        </w:rPr>
        <w:t>(D)(2)</w:t>
      </w:r>
      <w:r w:rsidRPr="00AC7175">
        <w:rPr>
          <w:rFonts w:eastAsia="Times New Roman"/>
          <w:snapToGrid w:val="0"/>
          <w:szCs w:val="20"/>
        </w:rPr>
        <w:tab/>
        <w:t>The department</w:t>
      </w:r>
      <w:r w:rsidRPr="00643ED8">
        <w:rPr>
          <w:rFonts w:eastAsia="Times New Roman"/>
          <w:snapToGrid w:val="0"/>
          <w:szCs w:val="20"/>
        </w:rPr>
        <w:t>’</w:t>
      </w:r>
      <w:r w:rsidRPr="00AC7175">
        <w:rPr>
          <w:rFonts w:eastAsia="Times New Roman"/>
          <w:snapToGrid w:val="0"/>
          <w:szCs w:val="20"/>
        </w:rPr>
        <w:t xml:space="preserve">s Permitting Committee </w:t>
      </w:r>
      <w:r w:rsidRPr="00AC7175">
        <w:rPr>
          <w:rFonts w:eastAsia="Times New Roman"/>
          <w:snapToGrid w:val="0"/>
          <w:szCs w:val="20"/>
          <w:u w:val="single"/>
        </w:rPr>
        <w:t>Coastal Division</w:t>
      </w:r>
      <w:r>
        <w:rPr>
          <w:rFonts w:eastAsia="Times New Roman"/>
          <w:snapToGrid w:val="0"/>
          <w:szCs w:val="20"/>
          <w:u w:val="single"/>
        </w:rPr>
        <w:t xml:space="preserve"> shall</w:t>
      </w:r>
      <w:r w:rsidRPr="00AC7175">
        <w:rPr>
          <w:rFonts w:eastAsia="Times New Roman"/>
          <w:snapToGrid w:val="0"/>
          <w:szCs w:val="20"/>
        </w:rPr>
        <w:t xml:space="preserve"> </w:t>
      </w:r>
      <w:r w:rsidRPr="00E444B4">
        <w:rPr>
          <w:rFonts w:eastAsia="Times New Roman"/>
          <w:strike/>
          <w:snapToGrid w:val="0"/>
          <w:szCs w:val="20"/>
        </w:rPr>
        <w:t>is the committee to</w:t>
      </w:r>
      <w:r w:rsidRPr="00AC7175">
        <w:rPr>
          <w:rFonts w:eastAsia="Times New Roman"/>
          <w:snapToGrid w:val="0"/>
          <w:szCs w:val="20"/>
        </w:rPr>
        <w:t xml:space="preserve"> consider applications for special permits.”</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64C69" w:rsidRPr="00522CE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sidR="00756BAE">
        <w:rPr>
          <w:rFonts w:eastAsia="Times New Roman"/>
          <w:snapToGrid w:val="0"/>
          <w:szCs w:val="20"/>
        </w:rPr>
        <w:t>.</w:t>
      </w:r>
      <w:r w:rsidR="00756BAE">
        <w:rPr>
          <w:rFonts w:eastAsia="Times New Roman"/>
          <w:snapToGrid w:val="0"/>
          <w:szCs w:val="20"/>
        </w:rPr>
        <w:tab/>
        <w:t>This act takes effect upon approval by the Governor; however, Section 48</w:t>
      </w:r>
      <w:r w:rsidR="00756BAE">
        <w:rPr>
          <w:rFonts w:eastAsia="Times New Roman"/>
          <w:snapToGrid w:val="0"/>
          <w:szCs w:val="20"/>
        </w:rPr>
        <w:noBreakHyphen/>
        <w:t>39</w:t>
      </w:r>
      <w:r w:rsidR="00756BAE">
        <w:rPr>
          <w:rFonts w:eastAsia="Times New Roman"/>
          <w:snapToGrid w:val="0"/>
          <w:szCs w:val="20"/>
        </w:rPr>
        <w:noBreakHyphen/>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434A" w:rsidRDefault="00B0434A" w:rsidP="00B0434A">
      <w:pPr>
        <w:suppressAutoHyphens/>
        <w:jc w:val="both"/>
        <w:rPr>
          <w:rFonts w:eastAsia="Times New Roman"/>
        </w:rPr>
      </w:pPr>
    </w:p>
    <w:sectPr w:rsidR="00B0434A"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C9A819-BBAF-458B-8BC3-FA0A715FBA1A}"/>
    <w:embedBold r:id="rId2" w:fontKey="{B1726394-299E-4A29-B2A0-76D37CEA2D92}"/>
    <w:embedBoldItalic r:id="rId3" w:fontKey="{67C12A61-D3D2-499F-B60F-3BF29BE0C6DE}"/>
  </w:font>
  <w:font w:name="Calibri">
    <w:panose1 w:val="020F0502020204030204"/>
    <w:charset w:val="00"/>
    <w:family w:val="swiss"/>
    <w:pitch w:val="variable"/>
    <w:sig w:usb0="E00002FF" w:usb1="4000ACFF" w:usb2="00000001" w:usb3="00000000" w:csb0="0000019F" w:csb1="00000000"/>
    <w:embedRegular r:id="rId4" w:fontKey="{0C4B5E37-3E11-471A-9BE9-C5FA51F5B2C1}"/>
  </w:font>
  <w:font w:name="Segoe UI">
    <w:panose1 w:val="020B0502040204020203"/>
    <w:charset w:val="00"/>
    <w:family w:val="swiss"/>
    <w:pitch w:val="variable"/>
    <w:sig w:usb0="E10022FF" w:usb1="C000E47F" w:usb2="00000029" w:usb3="00000000" w:csb0="000001DF" w:csb1="00000000"/>
    <w:embedRegular r:id="rId5" w:fontKey="{0596BFD2-77ED-4D46-A78C-550BD29ADD28}"/>
  </w:font>
  <w:font w:name="Cambria">
    <w:panose1 w:val="02040503050406030204"/>
    <w:charset w:val="00"/>
    <w:family w:val="roman"/>
    <w:pitch w:val="variable"/>
    <w:sig w:usb0="E00002FF" w:usb1="400004FF" w:usb2="00000000" w:usb3="00000000" w:csb0="0000019F" w:csb1="00000000"/>
    <w:embedRegular r:id="rId6" w:fontKey="{3DE23EAD-070D-49FB-A5A4-13F131331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B0434A">
      <w:rPr>
        <w:noProof/>
      </w:rPr>
      <w:t>1</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B043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0E092B"/>
    <w:rsid w:val="00170561"/>
    <w:rsid w:val="00186AC9"/>
    <w:rsid w:val="00197DF1"/>
    <w:rsid w:val="001B3DD9"/>
    <w:rsid w:val="001B7E5D"/>
    <w:rsid w:val="001D3BAC"/>
    <w:rsid w:val="00216025"/>
    <w:rsid w:val="00245C4E"/>
    <w:rsid w:val="00286F5F"/>
    <w:rsid w:val="002C1321"/>
    <w:rsid w:val="002C5896"/>
    <w:rsid w:val="002D3BED"/>
    <w:rsid w:val="002E6077"/>
    <w:rsid w:val="002F3690"/>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56BAE"/>
    <w:rsid w:val="00765784"/>
    <w:rsid w:val="007A4390"/>
    <w:rsid w:val="007E5CB7"/>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86015"/>
    <w:rsid w:val="00A9594E"/>
    <w:rsid w:val="00AE59C8"/>
    <w:rsid w:val="00AE7844"/>
    <w:rsid w:val="00AF0E46"/>
    <w:rsid w:val="00B0434A"/>
    <w:rsid w:val="00B10098"/>
    <w:rsid w:val="00B5790D"/>
    <w:rsid w:val="00B764A5"/>
    <w:rsid w:val="00B86D1D"/>
    <w:rsid w:val="00B945C5"/>
    <w:rsid w:val="00BA20EA"/>
    <w:rsid w:val="00BB01C2"/>
    <w:rsid w:val="00BB5AFC"/>
    <w:rsid w:val="00BC0A56"/>
    <w:rsid w:val="00BE0F70"/>
    <w:rsid w:val="00C00A27"/>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76AD9"/>
    <w:rsid w:val="00E91E2F"/>
    <w:rsid w:val="00EA031D"/>
    <w:rsid w:val="00EA3546"/>
    <w:rsid w:val="00EB47AE"/>
    <w:rsid w:val="00EB4A09"/>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F3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C71AF55C</Template>
  <TotalTime>0</TotalTime>
  <Pages>9</Pages>
  <Words>2564</Words>
  <Characters>13769</Characters>
  <Application>Microsoft Office Word</Application>
  <DocSecurity>0</DocSecurity>
  <Lines>319</Lines>
  <Paragraphs>58</Paragraphs>
  <ScaleCrop>false</ScaleCrop>
  <HeadingPairs>
    <vt:vector size="2" baseType="variant">
      <vt:variant>
        <vt:lpstr>Title</vt:lpstr>
      </vt:variant>
      <vt:variant>
        <vt:i4>1</vt:i4>
      </vt:variant>
    </vt:vector>
  </HeadingPairs>
  <TitlesOfParts>
    <vt:vector size="1" baseType="lpstr">
      <vt:lpstr>2015-2016 Bill 139 Text of Previous Version (Dec. 3, 2014) - South Carolina Legislature Online</vt:lpstr>
    </vt:vector>
  </TitlesOfParts>
  <Company> </Company>
  <LinksUpToDate>false</LinksUpToDate>
  <CharactersWithSpaces>16378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(Apr. 21, 2016) - South Carolina Legislature Online</dc:title>
  <dc:subject/>
  <dc:creator>%USERNAME%</dc:creator>
  <cp:keywords/>
  <dc:description/>
  <cp:lastModifiedBy>David Brunson</cp:lastModifiedBy>
  <cp:revision>2</cp:revision>
  <cp:lastPrinted>2016-01-20T20:06:00Z</cp:lastPrinted>
  <dcterms:created xsi:type="dcterms:W3CDTF">2016-04-21T17:56:00Z</dcterms:created>
  <dcterms:modified xsi:type="dcterms:W3CDTF">2016-04-21T17:56:00Z</dcterms:modified>
</cp:coreProperties>
</file>