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39C" w:rsidRPr="00522CE0" w:rsidRDefault="000E4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4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3A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775" w:rsidRDefault="00760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08150A">
        <w:rPr>
          <w:rFonts w:eastAsia="Times New Roman"/>
        </w:rPr>
        <w:noBreakHyphen/>
      </w:r>
      <w:r>
        <w:rPr>
          <w:rFonts w:eastAsia="Times New Roman"/>
        </w:rPr>
        <w:t>37</w:t>
      </w:r>
      <w:r w:rsidR="0008150A">
        <w:rPr>
          <w:rFonts w:eastAsia="Times New Roman"/>
        </w:rPr>
        <w:noBreakHyphen/>
      </w:r>
      <w:r>
        <w:rPr>
          <w:rFonts w:eastAsia="Times New Roman"/>
        </w:rPr>
        <w:t xml:space="preserve">224 OF THE 1976 CODE, RELATING TO THE ASSESSMENT OF PROPERTY TAXES FOR BOATS AND WATERCRAFT WITH CERTAIN FEATURES, TO PROVIDE THAT A PERSON MAY CLAIM </w:t>
      </w:r>
      <w:r w:rsidRPr="00760C4D">
        <w:rPr>
          <w:rFonts w:eastAsia="Times New Roman"/>
          <w:color w:val="000000" w:themeColor="text1"/>
        </w:rPr>
        <w:t>A QUALIFYING BOAT OR WATERCRAFT AS HIS PRIMARY RESIDENCE FOR PURPOSES OF AD VALOREM PROPERTY TAXATION</w:t>
      </w:r>
      <w:r w:rsidR="0008150A">
        <w:rPr>
          <w:rFonts w:eastAsia="Times New Roman"/>
        </w:rPr>
        <w:t>,</w:t>
      </w:r>
      <w:r>
        <w:rPr>
          <w:rFonts w:eastAsia="Times New Roman"/>
        </w:rPr>
        <w:t xml:space="preserve"> TO PROVIDE FOR APPLICATION FILING REQUIREMENTS IN THE EVENT OF A CHANGE IN OWNERSHIP</w:t>
      </w:r>
      <w:r w:rsidR="0008150A">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3A1D" w:rsidRDefault="00E43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3A1D" w:rsidRDefault="00E43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SECTION</w:t>
      </w:r>
      <w:r w:rsidRPr="00C07ECC">
        <w:rPr>
          <w:rFonts w:eastAsia="Times New Roman"/>
          <w:color w:val="000000" w:themeColor="text1"/>
          <w:u w:color="000000" w:themeColor="text1"/>
        </w:rPr>
        <w:tab/>
        <w:t>1.</w:t>
      </w:r>
      <w:r w:rsidRPr="00C07ECC">
        <w:rPr>
          <w:rFonts w:eastAsia="Times New Roman"/>
          <w:color w:val="000000" w:themeColor="text1"/>
          <w:u w:color="000000" w:themeColor="text1"/>
        </w:rPr>
        <w:tab/>
        <w:t xml:space="preserve">Chapter 37, Title 12 of the 1976 Code is amended to read: </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t>“Section 12</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37</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224.</w:t>
      </w:r>
      <w:r w:rsidRPr="00C07ECC">
        <w:rPr>
          <w:rFonts w:eastAsia="Times New Roman"/>
          <w:color w:val="000000" w:themeColor="text1"/>
          <w:u w:color="000000" w:themeColor="text1"/>
        </w:rPr>
        <w:tab/>
        <w:t>(A)</w:t>
      </w:r>
      <w:r w:rsidR="00760C4D">
        <w:rPr>
          <w:rFonts w:eastAsia="Times New Roman"/>
          <w:color w:val="000000" w:themeColor="text1"/>
          <w:u w:color="000000" w:themeColor="text1"/>
        </w:rPr>
        <w:tab/>
      </w:r>
      <w:r w:rsidRPr="00C07ECC">
        <w:rPr>
          <w:rFonts w:eastAsia="Times New Roman"/>
          <w:color w:val="000000" w:themeColor="text1"/>
          <w:u w:color="000000" w:themeColor="text1"/>
        </w:rPr>
        <w:t>A motor home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 or trailer used for camping and recreational travel that is pulled by a motor vehicle classified for property tax purposes as a primary or secondary residence pursuant to this section must be determined in the manner that motor vehicles are valued for property tax purposes.</w:t>
      </w:r>
    </w:p>
    <w:p w:rsidR="008F15F1" w:rsidRPr="00C07ECC" w:rsidRDefault="00760C4D"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(B)(1)</w:t>
      </w:r>
      <w:r>
        <w:rPr>
          <w:rFonts w:eastAsia="Times New Roman"/>
          <w:color w:val="000000" w:themeColor="text1"/>
          <w:u w:color="000000" w:themeColor="text1"/>
        </w:rPr>
        <w:tab/>
      </w:r>
      <w:r w:rsidR="008F15F1" w:rsidRPr="00C07ECC">
        <w:rPr>
          <w:rFonts w:eastAsia="Times New Roman"/>
          <w:color w:val="000000" w:themeColor="text1"/>
          <w:u w:color="000000" w:themeColor="text1"/>
        </w:rPr>
        <w:t>A person who owns a boat or watercraft that contains a cooking area with an onboard power source, a toilet with exterior evacuation, and a sleeping quarter, may claim one boat or watercraft as a primary residence and one boat or watercraft as a secondary residence for purposes of ad valorem property taxation in this State. 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sidR="0008150A">
        <w:rPr>
          <w:rFonts w:eastAsia="Times New Roman"/>
          <w:color w:val="000000" w:themeColor="text1"/>
          <w:u w:color="000000" w:themeColor="text1"/>
        </w:rPr>
        <w:noBreakHyphen/>
      </w:r>
      <w:r w:rsidR="008F15F1" w:rsidRPr="00C07ECC">
        <w:rPr>
          <w:rFonts w:eastAsia="Times New Roman"/>
          <w:color w:val="000000" w:themeColor="text1"/>
          <w:u w:color="000000" w:themeColor="text1"/>
        </w:rPr>
        <w:t>37</w:t>
      </w:r>
      <w:r w:rsidR="0008150A">
        <w:rPr>
          <w:rFonts w:eastAsia="Times New Roman"/>
          <w:color w:val="000000" w:themeColor="text1"/>
          <w:u w:color="000000" w:themeColor="text1"/>
        </w:rPr>
        <w:noBreakHyphen/>
      </w:r>
      <w:r w:rsidR="008F15F1" w:rsidRPr="00C07ECC">
        <w:rPr>
          <w:rFonts w:eastAsia="Times New Roman"/>
          <w:color w:val="000000" w:themeColor="text1"/>
          <w:u w:color="000000" w:themeColor="text1"/>
        </w:rPr>
        <w:t>220(B)(38).</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r>
      <w:r w:rsidRPr="00C07ECC">
        <w:rPr>
          <w:rFonts w:eastAsia="Times New Roman"/>
          <w:color w:val="000000" w:themeColor="text1"/>
          <w:u w:color="000000" w:themeColor="text1"/>
        </w:rPr>
        <w:tab/>
        <w:t>(2)</w:t>
      </w:r>
      <w:r w:rsidR="00760C4D">
        <w:rPr>
          <w:rFonts w:eastAsia="Times New Roman"/>
          <w:color w:val="000000" w:themeColor="text1"/>
          <w:u w:color="000000" w:themeColor="text1"/>
        </w:rPr>
        <w:tab/>
      </w:r>
      <w:r w:rsidRPr="00C07ECC">
        <w:rPr>
          <w:rFonts w:eastAsia="Times New Roman"/>
          <w:strike/>
          <w:color w:val="000000" w:themeColor="text1"/>
          <w:u w:color="000000" w:themeColor="text1"/>
        </w:rPr>
        <w:t>Only an individual may claim a qualifying boat or watercraft as his primary residence for purposes of ad valorem property taxation. The individual</w:t>
      </w:r>
      <w:r w:rsidRPr="00C07ECC">
        <w:rPr>
          <w:rFonts w:eastAsia="Times New Roman"/>
          <w:color w:val="000000" w:themeColor="text1"/>
          <w:u w:color="000000" w:themeColor="text1"/>
        </w:rPr>
        <w:t xml:space="preserve"> </w:t>
      </w:r>
      <w:r w:rsidRPr="00C07ECC">
        <w:rPr>
          <w:rFonts w:eastAsia="Times New Roman"/>
          <w:color w:val="000000" w:themeColor="text1"/>
          <w:u w:val="single" w:color="000000" w:themeColor="text1"/>
        </w:rPr>
        <w:t>The person</w:t>
      </w:r>
      <w:r w:rsidRPr="00C07ECC">
        <w:rPr>
          <w:rFonts w:eastAsia="Times New Roman"/>
          <w:color w:val="000000" w:themeColor="text1"/>
          <w:u w:color="000000" w:themeColor="text1"/>
        </w:rPr>
        <w:t xml:space="preserve"> or his agent </w:t>
      </w:r>
      <w:r w:rsidRPr="00C07ECC">
        <w:rPr>
          <w:rFonts w:eastAsia="Times New Roman"/>
          <w:color w:val="000000" w:themeColor="text1"/>
          <w:u w:val="single" w:color="000000" w:themeColor="text1"/>
        </w:rPr>
        <w:t>claiming a qualifying boat or watercraft as his primary residence for purposes of ad valorem property taxation</w:t>
      </w:r>
      <w:r w:rsidRPr="00C07ECC">
        <w:rPr>
          <w:rFonts w:eastAsia="Times New Roman"/>
          <w:color w:val="000000" w:themeColor="text1"/>
          <w:u w:color="000000" w:themeColor="text1"/>
        </w:rPr>
        <w:t xml:space="preserve"> must certify the qualifying boat or watercraft as his primary residence pursuant to Section 12</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43</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 xml:space="preserve">220(c)(2)(ii). Additionally, </w:t>
      </w:r>
      <w:r w:rsidRPr="00C07ECC">
        <w:rPr>
          <w:rFonts w:eastAsia="Times New Roman"/>
          <w:strike/>
          <w:color w:val="000000" w:themeColor="text1"/>
          <w:u w:color="000000" w:themeColor="text1"/>
        </w:rPr>
        <w:t>the individual</w:t>
      </w:r>
      <w:r w:rsidRPr="00C07ECC">
        <w:rPr>
          <w:rFonts w:eastAsia="Times New Roman"/>
          <w:color w:val="000000" w:themeColor="text1"/>
          <w:u w:color="000000" w:themeColor="text1"/>
        </w:rPr>
        <w:t xml:space="preserve"> </w:t>
      </w:r>
      <w:r w:rsidRPr="00C07ECC">
        <w:rPr>
          <w:rFonts w:eastAsia="Times New Roman"/>
          <w:color w:val="000000" w:themeColor="text1"/>
          <w:u w:val="single" w:color="000000" w:themeColor="text1"/>
        </w:rPr>
        <w:t>the person</w:t>
      </w:r>
      <w:r w:rsidRPr="00C07ECC">
        <w:rPr>
          <w:rFonts w:eastAsia="Times New Roman"/>
          <w:color w:val="000000" w:themeColor="text1"/>
          <w:u w:color="000000" w:themeColor="text1"/>
        </w:rPr>
        <w:t xml:space="preserve"> or his agent must provide any proof the assessor requires pursuant to Section 12</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43</w:t>
      </w:r>
      <w:r w:rsidR="0008150A">
        <w:rPr>
          <w:rFonts w:eastAsia="Times New Roman"/>
          <w:color w:val="000000" w:themeColor="text1"/>
          <w:u w:color="000000" w:themeColor="text1"/>
        </w:rPr>
        <w:noBreakHyphen/>
      </w:r>
      <w:r w:rsidRPr="00C07ECC">
        <w:rPr>
          <w:rFonts w:eastAsia="Times New Roman"/>
          <w:color w:val="000000" w:themeColor="text1"/>
          <w:u w:color="000000" w:themeColor="text1"/>
        </w:rPr>
        <w:t xml:space="preserve">220(c)(2)(iv). One other qualifying boat or watercraft owned by </w:t>
      </w:r>
      <w:r w:rsidRPr="00C07ECC">
        <w:rPr>
          <w:rFonts w:eastAsia="Times New Roman"/>
          <w:strike/>
          <w:color w:val="000000" w:themeColor="text1"/>
          <w:u w:color="000000" w:themeColor="text1"/>
        </w:rPr>
        <w:t>an individual</w:t>
      </w:r>
      <w:r w:rsidRPr="00C07ECC">
        <w:rPr>
          <w:rFonts w:eastAsia="Times New Roman"/>
          <w:color w:val="000000" w:themeColor="text1"/>
          <w:u w:color="000000" w:themeColor="text1"/>
        </w:rPr>
        <w:t xml:space="preserve"> </w:t>
      </w:r>
      <w:r w:rsidRPr="00C07ECC">
        <w:rPr>
          <w:rFonts w:eastAsia="Times New Roman"/>
          <w:color w:val="000000" w:themeColor="text1"/>
          <w:u w:val="single" w:color="000000" w:themeColor="text1"/>
        </w:rPr>
        <w:t>a person</w:t>
      </w:r>
      <w:r w:rsidRPr="00C07ECC">
        <w:rPr>
          <w:rFonts w:eastAsia="Times New Roman"/>
          <w:color w:val="000000" w:themeColor="text1"/>
          <w:u w:color="000000" w:themeColor="text1"/>
        </w:rPr>
        <w:t xml:space="preserve"> that cannot be considered a primary residence, or one other qualifying boat or watercraft owned by another person shall be considered a secondary residence for purposes o</w:t>
      </w:r>
      <w:r w:rsidR="0008150A">
        <w:rPr>
          <w:rFonts w:eastAsia="Times New Roman"/>
          <w:color w:val="000000" w:themeColor="text1"/>
          <w:u w:color="000000" w:themeColor="text1"/>
        </w:rPr>
        <w:t>f ad valorem property taxation.</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r>
      <w:r w:rsidRPr="00C07ECC">
        <w:rPr>
          <w:rFonts w:eastAsia="Times New Roman"/>
          <w:color w:val="000000" w:themeColor="text1"/>
          <w:u w:color="000000" w:themeColor="text1"/>
        </w:rPr>
        <w:tab/>
        <w:t>(3)</w:t>
      </w:r>
      <w:r w:rsidR="00760C4D">
        <w:rPr>
          <w:rFonts w:eastAsia="Times New Roman"/>
          <w:color w:val="000000" w:themeColor="text1"/>
          <w:u w:color="000000" w:themeColor="text1"/>
        </w:rPr>
        <w:tab/>
      </w:r>
      <w:r w:rsidRPr="00C07ECC">
        <w:rPr>
          <w:rFonts w:eastAsia="Times New Roman"/>
          <w:color w:val="000000" w:themeColor="text1"/>
          <w:u w:val="single" w:color="000000" w:themeColor="text1"/>
        </w:rPr>
        <w:t>No further applications are necessary from the person while the boat or watercraft for which the initial application was made continues to qualify as a primary or secondary residence. If a change in ownership or use occurs, the person who claimed the boat or watercraft shall notify the assessor of the change in classification within six months of the change. Another application is required by the new owner to qualify the boat or watercraft as the person</w:t>
      </w:r>
      <w:r w:rsidR="0008150A" w:rsidRPr="0008150A">
        <w:rPr>
          <w:rFonts w:eastAsia="Times New Roman"/>
          <w:color w:val="000000" w:themeColor="text1"/>
          <w:u w:val="single" w:color="000000" w:themeColor="text1"/>
        </w:rPr>
        <w:t>’</w:t>
      </w:r>
      <w:r w:rsidRPr="00C07ECC">
        <w:rPr>
          <w:rFonts w:eastAsia="Times New Roman"/>
          <w:color w:val="000000" w:themeColor="text1"/>
          <w:u w:val="single" w:color="000000" w:themeColor="text1"/>
        </w:rPr>
        <w:t>s primary or secondary residence under this section.</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ab/>
      </w:r>
      <w:r w:rsidRPr="00C07ECC">
        <w:rPr>
          <w:rFonts w:eastAsia="Times New Roman"/>
          <w:color w:val="000000" w:themeColor="text1"/>
          <w:u w:color="000000" w:themeColor="text1"/>
        </w:rPr>
        <w:tab/>
      </w:r>
      <w:r w:rsidRPr="00C07ECC">
        <w:rPr>
          <w:rFonts w:eastAsia="Times New Roman"/>
          <w:color w:val="000000" w:themeColor="text1"/>
          <w:u w:val="single" w:color="000000" w:themeColor="text1"/>
        </w:rPr>
        <w:t>(4)</w:t>
      </w:r>
      <w:r w:rsidR="00760C4D" w:rsidRPr="00760C4D">
        <w:rPr>
          <w:rFonts w:eastAsia="Times New Roman"/>
          <w:color w:val="000000" w:themeColor="text1"/>
        </w:rPr>
        <w:tab/>
      </w:r>
      <w:r w:rsidRPr="00C07ECC">
        <w:rPr>
          <w:rFonts w:eastAsia="Times New Roman"/>
          <w:color w:val="000000" w:themeColor="text1"/>
          <w:u w:color="000000" w:themeColor="text1"/>
        </w:rPr>
        <w:t>For purposes of this subsection a person includes an individual, a sole propr</w:t>
      </w:r>
      <w:r w:rsidR="0008150A">
        <w:rPr>
          <w:rFonts w:eastAsia="Times New Roman"/>
          <w:color w:val="000000" w:themeColor="text1"/>
          <w:u w:color="000000" w:themeColor="text1"/>
        </w:rPr>
        <w:t xml:space="preserve">ietorship, partnership, and an </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S</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 xml:space="preserve"> corporation, including a limited liability company taxed as sole proprietorship, partnership, or </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S</w:t>
      </w:r>
      <w:r w:rsidR="0008150A" w:rsidRPr="0008150A">
        <w:rPr>
          <w:rFonts w:eastAsia="Times New Roman"/>
          <w:color w:val="000000" w:themeColor="text1"/>
          <w:u w:color="000000" w:themeColor="text1"/>
        </w:rPr>
        <w:t>’</w:t>
      </w:r>
      <w:r w:rsidRPr="00C07ECC">
        <w:rPr>
          <w:rFonts w:eastAsia="Times New Roman"/>
          <w:color w:val="000000" w:themeColor="text1"/>
          <w:u w:color="000000" w:themeColor="text1"/>
        </w:rPr>
        <w:t xml:space="preserve"> corporation.</w:t>
      </w:r>
      <w:r w:rsidR="00760C4D">
        <w:rPr>
          <w:rFonts w:eastAsia="Times New Roman"/>
          <w:color w:val="000000" w:themeColor="text1"/>
          <w:u w:color="000000" w:themeColor="text1"/>
        </w:rPr>
        <w:t>”</w:t>
      </w:r>
    </w:p>
    <w:p w:rsidR="008F15F1" w:rsidRPr="00C07ECC"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15F1" w:rsidRPr="0008150A" w:rsidRDefault="008F15F1" w:rsidP="008F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07ECC">
        <w:rPr>
          <w:rFonts w:eastAsia="Times New Roman"/>
          <w:color w:val="000000" w:themeColor="text1"/>
          <w:u w:color="000000" w:themeColor="text1"/>
        </w:rPr>
        <w:t>SECTION</w:t>
      </w:r>
      <w:r w:rsidRPr="00C07ECC">
        <w:rPr>
          <w:rFonts w:eastAsia="Times New Roman"/>
          <w:color w:val="000000" w:themeColor="text1"/>
          <w:u w:color="000000" w:themeColor="text1"/>
        </w:rPr>
        <w:tab/>
        <w:t>2.</w:t>
      </w:r>
      <w:r w:rsidRPr="00C07ECC">
        <w:rPr>
          <w:rFonts w:eastAsia="Times New Roman"/>
          <w:color w:val="000000" w:themeColor="text1"/>
          <w:u w:color="000000" w:themeColor="text1"/>
        </w:rPr>
        <w:tab/>
        <w:t>This act takes effect upon approval by the Governor.</w:t>
      </w:r>
    </w:p>
    <w:p w:rsidR="00F741CA" w:rsidRDefault="000815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439C" w:rsidRDefault="000E439C" w:rsidP="000E439C">
      <w:pPr>
        <w:suppressAutoHyphens/>
        <w:jc w:val="both"/>
        <w:rPr>
          <w:rFonts w:eastAsia="Times New Roman"/>
        </w:rPr>
      </w:pPr>
    </w:p>
    <w:sectPr w:rsidR="000E439C" w:rsidSect="000E43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5F1" w:rsidRDefault="008F15F1" w:rsidP="00522CE0">
      <w:r>
        <w:separator/>
      </w:r>
    </w:p>
  </w:endnote>
  <w:endnote w:type="continuationSeparator" w:id="0">
    <w:p w:rsidR="008F15F1" w:rsidRDefault="008F1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09E918-96E5-4618-9E43-73FC2C8282C5}"/>
    <w:embedBold r:id="rId2" w:fontKey="{7E10E9B9-1B2B-4DBF-B2DA-8A2860FC55D8}"/>
  </w:font>
  <w:font w:name="Calibri">
    <w:panose1 w:val="020F0502020204030204"/>
    <w:charset w:val="00"/>
    <w:family w:val="swiss"/>
    <w:pitch w:val="variable"/>
    <w:sig w:usb0="E10002FF" w:usb1="4000ACFF" w:usb2="00000009" w:usb3="00000000" w:csb0="0000019F" w:csb1="00000000"/>
    <w:embedRegular r:id="rId3" w:fontKey="{EBF3FB22-4629-4C15-9B19-53EDD12290D7}"/>
  </w:font>
  <w:font w:name="Cambria">
    <w:panose1 w:val="02040503050406030204"/>
    <w:charset w:val="00"/>
    <w:family w:val="roman"/>
    <w:pitch w:val="variable"/>
    <w:sig w:usb0="E00002FF" w:usb1="400004FF" w:usb2="00000000" w:usb3="00000000" w:csb0="0000019F" w:csb1="00000000"/>
    <w:embedRegular r:id="rId4" w:fontKey="{3D1804D8-C00E-4E65-A664-9DF5F79603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1CA" w:rsidRPr="000E439C" w:rsidRDefault="000E439C" w:rsidP="000E439C">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5F1" w:rsidRDefault="008F15F1" w:rsidP="00522CE0">
      <w:r>
        <w:separator/>
      </w:r>
    </w:p>
  </w:footnote>
  <w:footnote w:type="continuationSeparator" w:id="0">
    <w:p w:rsidR="008F15F1" w:rsidRDefault="008F1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BOAT.KSG.GEC"/>
    <w:docVar w:name="CoverAttorneyInitials" w:val="KSG"/>
    <w:docVar w:name="CoverAttorneyLastName" w:val="Kara Grevey"/>
    <w:docVar w:name="CoverBillType" w:val="b"/>
    <w:docVar w:name="CoverSenator" w:val="GEC"/>
    <w:docVar w:name="dvBillNumber" w:val="212"/>
    <w:docVar w:name="dvBillNumberPrefix" w:val="S. "/>
    <w:docVar w:name="dvOriginalBody" w:val="Senate"/>
    <w:docVar w:name="fulldraftpath" w:val="L:\S-RES\GEC\024BOAT.KSG.GEC.DOCX"/>
    <w:docVar w:name="NameofBody" w:val="S"/>
    <w:docVar w:name="vgroup2" w:val="S-RES"/>
  </w:docVars>
  <w:rsids>
    <w:rsidRoot w:val="00E43A1D"/>
    <w:rsid w:val="00042AC1"/>
    <w:rsid w:val="00046516"/>
    <w:rsid w:val="0007601D"/>
    <w:rsid w:val="0008150A"/>
    <w:rsid w:val="000B0720"/>
    <w:rsid w:val="000B5EAF"/>
    <w:rsid w:val="000E0775"/>
    <w:rsid w:val="000E439C"/>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73A49"/>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0C4D"/>
    <w:rsid w:val="00765784"/>
    <w:rsid w:val="007A4390"/>
    <w:rsid w:val="007E5CB7"/>
    <w:rsid w:val="008314D2"/>
    <w:rsid w:val="008B2F42"/>
    <w:rsid w:val="008C3697"/>
    <w:rsid w:val="008E185F"/>
    <w:rsid w:val="008F023B"/>
    <w:rsid w:val="008F15F1"/>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06F9"/>
    <w:rsid w:val="00C45366"/>
    <w:rsid w:val="00C57023"/>
    <w:rsid w:val="00C74052"/>
    <w:rsid w:val="00CB187A"/>
    <w:rsid w:val="00CC0EC7"/>
    <w:rsid w:val="00D1088B"/>
    <w:rsid w:val="00D14DE6"/>
    <w:rsid w:val="00D156D2"/>
    <w:rsid w:val="00D53E29"/>
    <w:rsid w:val="00D86943"/>
    <w:rsid w:val="00DA47B9"/>
    <w:rsid w:val="00E058D3"/>
    <w:rsid w:val="00E43A1D"/>
    <w:rsid w:val="00E44A14"/>
    <w:rsid w:val="00E76AD9"/>
    <w:rsid w:val="00E91E2F"/>
    <w:rsid w:val="00EA3546"/>
    <w:rsid w:val="00EB47AE"/>
    <w:rsid w:val="00EC34E1"/>
    <w:rsid w:val="00F0234A"/>
    <w:rsid w:val="00F05CF2"/>
    <w:rsid w:val="00F51241"/>
    <w:rsid w:val="00F52959"/>
    <w:rsid w:val="00F55884"/>
    <w:rsid w:val="00F72856"/>
    <w:rsid w:val="00F741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147A732-D5E4-4DF5-A7D8-3D20FFCD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589</Words>
  <Characters>3047</Characters>
  <Application>Microsoft Office Word</Application>
  <DocSecurity>0</DocSecurity>
  <Lines>78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212 Text of Previous Version (Dec. 10, 2014) - South Carolina Legislature Online</dc:title>
  <dc:subject/>
  <dc:creator>%USERNAME%</dc:creator>
  <cp:keywords/>
  <dc:description/>
  <cp:lastModifiedBy>N Cumfer</cp:lastModifiedBy>
  <cp:revision>2</cp:revision>
  <dcterms:created xsi:type="dcterms:W3CDTF">2014-12-10T19:11:00Z</dcterms:created>
  <dcterms:modified xsi:type="dcterms:W3CDTF">2014-12-10T19:11:00Z</dcterms:modified>
</cp:coreProperties>
</file>