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ABC"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2015</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A67" w:rsidRPr="00981A67" w:rsidRDefault="00981A67" w:rsidP="00981A67">
      <w:pPr>
        <w:tabs>
          <w:tab w:val="right" w:pos="5933"/>
        </w:tabs>
        <w:suppressAutoHyphens/>
        <w:jc w:val="both"/>
        <w:rPr>
          <w:rFonts w:eastAsia="Times New Roman"/>
        </w:rPr>
      </w:pPr>
      <w:r>
        <w:rPr>
          <w:rFonts w:eastAsia="Times New Roman"/>
        </w:rPr>
        <w:tab/>
      </w:r>
      <w:r>
        <w:rPr>
          <w:rFonts w:eastAsia="Times New Roman"/>
          <w:b/>
          <w:sz w:val="36"/>
        </w:rPr>
        <w:t>S. 225</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A67" w:rsidRDefault="00981A67" w:rsidP="0098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Setzler</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2/11/15--H.</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2015.</w:t>
      </w:r>
    </w:p>
    <w:p w:rsidR="00981A67" w:rsidRPr="00981A67" w:rsidRDefault="00981A67" w:rsidP="0098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1A67" w:rsidSect="009C2AB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3B0D" w:rsidRPr="00522CE0" w:rsidRDefault="007A3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6221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SUSPEND </w:t>
      </w:r>
      <w:r>
        <w:t>PROVISO 105.15 OF PART 1B OF THE 2014-2015 APPROPRIATION</w:t>
      </w:r>
      <w:r w:rsidR="00594665">
        <w:t>S</w:t>
      </w:r>
      <w:r>
        <w:t xml:space="preserve"> ACT, RELATING TO </w:t>
      </w:r>
      <w:r w:rsidRPr="004221C1">
        <w:rPr>
          <w:color w:val="000000" w:themeColor="text1"/>
          <w:u w:color="000000" w:themeColor="text1"/>
        </w:rPr>
        <w:t>REIMBURSEMENT RATES PAID TO PHARMACIES PARTICIPATING IN THE STATE HEALTH PLAN</w:t>
      </w:r>
      <w:r>
        <w:rPr>
          <w:color w:val="000000" w:themeColor="text1"/>
          <w:u w:color="000000" w:themeColor="text1"/>
        </w:rPr>
        <w:t xml:space="preserve"> BY CATAMARAN, THE CONTRACTED PHARMACY BENEFIT MANAGER FOR THE PLAN.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Whereas, in April 2014, Catamaran, the contracted pharmacy benefit manager for the State Health Plan, made certain adjustments to the reimbursement rates paid to pharmacies participatin</w:t>
      </w:r>
      <w:r w:rsidR="00594665">
        <w:rPr>
          <w:color w:val="000000" w:themeColor="text1"/>
          <w:u w:color="000000" w:themeColor="text1"/>
        </w:rPr>
        <w:t>g in the State Health Plan;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Whereas, following those adjustments, certain independent South Carolina pharmacies raised concerns regarding the degree of the downward adjustments to the reimbursement rates paid for retail generic drug presc</w:t>
      </w:r>
      <w:r w:rsidR="00594665">
        <w:rPr>
          <w:color w:val="000000" w:themeColor="text1"/>
          <w:u w:color="000000" w:themeColor="text1"/>
        </w:rPr>
        <w:t>riptions;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Whereas, in an effort to address those concerns, Proviso 105.15 was enacted in the 2014</w:t>
      </w:r>
      <w:r w:rsidRPr="006D3429">
        <w:rPr>
          <w:color w:val="000000" w:themeColor="text1"/>
          <w:u w:color="000000" w:themeColor="text1"/>
        </w:rPr>
        <w:noBreakHyphen/>
        <w:t>2015 General Appropriations Act to require that, effective January 1, 2015, all pharmacies participating in the State Health Plan be reimbursed on an equal and uniform per</w:t>
      </w:r>
      <w:r w:rsidR="00594665">
        <w:rPr>
          <w:color w:val="000000" w:themeColor="text1"/>
          <w:u w:color="000000" w:themeColor="text1"/>
        </w:rPr>
        <w:noBreakHyphen/>
        <w:t>product basis by the State Health Plan;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Whereas, in August 2014, the Public Employee Benefit Authority, the administrator of the State Health Plan, reached a contractual agreement with Catamaran to adjust the reimbursement rates paid to the affected independent pharmacies for retail generic prescriptions to rates that are consistent with the rates in effect immediately prior to the adjustments made in April 2014 and that are appropriate to fully, adequately, and properly maintain the State Health Plan’s phar</w:t>
      </w:r>
      <w:r w:rsidR="00594665">
        <w:rPr>
          <w:color w:val="000000" w:themeColor="text1"/>
          <w:u w:color="000000" w:themeColor="text1"/>
        </w:rPr>
        <w:t>macy network in good faith;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215"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D3429">
        <w:rPr>
          <w:color w:val="000000" w:themeColor="text1"/>
          <w:u w:color="000000" w:themeColor="text1"/>
        </w:rPr>
        <w:t>Whereas, in light of this contractual agreement between the Public Employee Benefit Authority and Catamaran, Proviso 105.15 is no longer necessary to address the concerns of the affected independent pharmacies and, in fact, the implementation of Proviso 105.15 would essentially negate the effect of that agreement.  Now, therefore,</w:t>
      </w:r>
    </w:p>
    <w:p w:rsidR="001659EE"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Be it enacted by the General Assembly of the State of South Carolina:</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Default="005D7890"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1659EE" w:rsidRPr="006D3429">
        <w:rPr>
          <w:color w:val="000000" w:themeColor="text1"/>
          <w:u w:color="000000" w:themeColor="text1"/>
        </w:rPr>
        <w:t>Effective January 1, 2015, Proviso 105.15 of Part 1B of the 2014</w:t>
      </w:r>
      <w:r w:rsidR="001659EE" w:rsidRPr="006D3429">
        <w:rPr>
          <w:color w:val="000000" w:themeColor="text1"/>
          <w:u w:color="000000" w:themeColor="text1"/>
        </w:rPr>
        <w:noBreakHyphen/>
        <w:t xml:space="preserve">2015 </w:t>
      </w:r>
      <w:r w:rsidR="00ED0FD7">
        <w:rPr>
          <w:color w:val="000000" w:themeColor="text1"/>
          <w:u w:color="000000" w:themeColor="text1"/>
        </w:rPr>
        <w:t xml:space="preserve">General </w:t>
      </w:r>
      <w:r w:rsidR="001659EE" w:rsidRPr="006D3429">
        <w:rPr>
          <w:color w:val="000000" w:themeColor="text1"/>
          <w:u w:color="000000" w:themeColor="text1"/>
        </w:rPr>
        <w:t>Appropriation</w:t>
      </w:r>
      <w:r w:rsidR="00ED0FD7">
        <w:rPr>
          <w:color w:val="000000" w:themeColor="text1"/>
          <w:u w:color="000000" w:themeColor="text1"/>
        </w:rPr>
        <w:t>s</w:t>
      </w:r>
      <w:r w:rsidR="001659EE" w:rsidRPr="006D3429">
        <w:rPr>
          <w:color w:val="000000" w:themeColor="text1"/>
          <w:u w:color="000000" w:themeColor="text1"/>
        </w:rPr>
        <w:t xml:space="preserve"> Act shall be suspended and of no effect for the remainder of Fiscal Year 2014</w:t>
      </w:r>
      <w:r w:rsidR="001659EE" w:rsidRPr="006D3429">
        <w:rPr>
          <w:color w:val="000000" w:themeColor="text1"/>
          <w:u w:color="000000" w:themeColor="text1"/>
        </w:rPr>
        <w:noBreakHyphen/>
        <w:t>2015</w:t>
      </w:r>
      <w:r w:rsidR="001659EE">
        <w:rPr>
          <w:color w:val="000000" w:themeColor="text1"/>
          <w:u w:color="000000" w:themeColor="text1"/>
        </w:rPr>
        <w:t>.</w:t>
      </w:r>
    </w:p>
    <w:p w:rsidR="001659EE"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215" w:rsidRPr="00522CE0" w:rsidRDefault="00362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D7890">
        <w:rPr>
          <w:rFonts w:eastAsia="Times New Roman"/>
        </w:rPr>
        <w:t>2</w:t>
      </w:r>
      <w:r>
        <w:rPr>
          <w:rFonts w:eastAsia="Times New Roman"/>
        </w:rPr>
        <w:t>.</w:t>
      </w:r>
      <w:r>
        <w:rPr>
          <w:rFonts w:eastAsia="Times New Roman"/>
        </w:rPr>
        <w:tab/>
        <w:t>This joint resolution takes effect upon approval by the Governor.</w:t>
      </w:r>
    </w:p>
    <w:p w:rsidR="006F6A4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23D8" w:rsidRDefault="009F23D8" w:rsidP="009F23D8">
      <w:pPr>
        <w:suppressAutoHyphens/>
        <w:jc w:val="both"/>
        <w:rPr>
          <w:rFonts w:eastAsia="Times New Roman"/>
        </w:rPr>
      </w:pPr>
    </w:p>
    <w:sectPr w:rsidR="009F23D8" w:rsidSect="009C2AB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9EE" w:rsidRDefault="001659EE" w:rsidP="00522CE0">
      <w:r>
        <w:separator/>
      </w:r>
    </w:p>
  </w:endnote>
  <w:endnote w:type="continuationSeparator" w:id="0">
    <w:p w:rsidR="001659EE" w:rsidRDefault="001659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7E3D2C-D457-48FA-8A71-4C334BAFDD70}"/>
    <w:embedBold r:id="rId2" w:fontKey="{2EB7909E-3C21-4DDB-84F2-91C69DF6524E}"/>
  </w:font>
  <w:font w:name="Calibri">
    <w:panose1 w:val="020F0502020204030204"/>
    <w:charset w:val="00"/>
    <w:family w:val="swiss"/>
    <w:pitch w:val="variable"/>
    <w:sig w:usb0="E10002FF" w:usb1="4000ACFF" w:usb2="00000009" w:usb3="00000000" w:csb0="0000019F" w:csb1="00000000"/>
    <w:embedRegular r:id="rId3" w:fontKey="{1143E445-A87A-4FD5-B8F5-BB2EC131D28B}"/>
  </w:font>
  <w:font w:name="Segoe UI">
    <w:panose1 w:val="020B0502040204020203"/>
    <w:charset w:val="00"/>
    <w:family w:val="swiss"/>
    <w:pitch w:val="variable"/>
    <w:sig w:usb0="E10022FF" w:usb1="C000E47F" w:usb2="00000029" w:usb3="00000000" w:csb0="000001DF" w:csb1="00000000"/>
    <w:embedRegular r:id="rId4" w:fontKey="{6D264289-7FDC-4CC0-BA5D-D47DF4592008}"/>
  </w:font>
  <w:font w:name="Cambria">
    <w:panose1 w:val="02040503050406030204"/>
    <w:charset w:val="00"/>
    <w:family w:val="roman"/>
    <w:pitch w:val="variable"/>
    <w:sig w:usb0="E00002FF" w:usb1="400004FF" w:usb2="00000000" w:usb3="00000000" w:csb0="0000019F" w:csb1="00000000"/>
    <w:embedRegular r:id="rId5" w:fontKey="{116C8916-8F6D-4A9E-BECE-0F98CEF1B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46" w:rsidRPr="007A3B0D" w:rsidRDefault="007A3B0D" w:rsidP="007A3B0D">
    <w:pPr>
      <w:pStyle w:val="Footer"/>
      <w:tabs>
        <w:tab w:val="clear" w:pos="4680"/>
        <w:tab w:val="clear" w:pos="9360"/>
        <w:tab w:val="center" w:pos="2995"/>
      </w:tabs>
      <w:spacing w:before="120"/>
    </w:pPr>
    <w:r>
      <w:t>[225</w:t>
    </w:r>
    <w:r w:rsidR="009C2ABC">
      <w:t>-</w:t>
    </w:r>
    <w:r w:rsidR="009C2ABC">
      <w:fldChar w:fldCharType="begin"/>
    </w:r>
    <w:r w:rsidR="009C2ABC">
      <w:instrText xml:space="preserve"> PAGE  \* MERGEFORMAT </w:instrText>
    </w:r>
    <w:r w:rsidR="009C2ABC">
      <w:fldChar w:fldCharType="separate"/>
    </w:r>
    <w:r w:rsidR="009F23D8">
      <w:rPr>
        <w:noProof/>
      </w:rPr>
      <w:t>1</w:t>
    </w:r>
    <w:r w:rsidR="009C2ABC">
      <w:fldChar w:fldCharType="end"/>
    </w:r>
    <w:r w:rsidR="009C2A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ABC" w:rsidRPr="007A3B0D" w:rsidRDefault="009C2ABC" w:rsidP="007A3B0D">
    <w:pPr>
      <w:pStyle w:val="Footer"/>
      <w:tabs>
        <w:tab w:val="clear" w:pos="4680"/>
        <w:tab w:val="clear" w:pos="9360"/>
        <w:tab w:val="center" w:pos="2995"/>
      </w:tabs>
      <w:spacing w:before="120"/>
    </w:pPr>
    <w:r>
      <w:t>[225]</w:t>
    </w:r>
    <w:r>
      <w:tab/>
    </w:r>
    <w:r>
      <w:fldChar w:fldCharType="begin"/>
    </w:r>
    <w:r>
      <w:instrText xml:space="preserve"> PAGE  \* MERGEFORMAT </w:instrText>
    </w:r>
    <w:r>
      <w:fldChar w:fldCharType="separate"/>
    </w:r>
    <w:r w:rsidR="009F23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9EE" w:rsidRDefault="001659EE" w:rsidP="00522CE0">
      <w:r>
        <w:separator/>
      </w:r>
    </w:p>
  </w:footnote>
  <w:footnote w:type="continuationSeparator" w:id="0">
    <w:p w:rsidR="001659EE" w:rsidRDefault="001659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EBA.LS.RWC"/>
    <w:docVar w:name="CoverAttorneyInitials" w:val="LS"/>
    <w:docVar w:name="CoverAttorneyLastName" w:val="Simpson"/>
    <w:docVar w:name="CoverBillType" w:val="j"/>
    <w:docVar w:name="CoverSenator" w:val="RWC"/>
    <w:docVar w:name="dvBillNumber" w:val="225"/>
    <w:docVar w:name="dvBillNumberPrefix" w:val="S. "/>
    <w:docVar w:name="dvOriginalBody" w:val="Senate"/>
    <w:docVar w:name="fulldraftpath" w:val="L:\S-RES\RWC\001PEBA.LS.RWC.DOCX"/>
    <w:docVar w:name="NameofBody" w:val="S"/>
    <w:docVar w:name="vgroup2" w:val="S-RES"/>
  </w:docVars>
  <w:rsids>
    <w:rsidRoot w:val="00362215"/>
    <w:rsid w:val="00042AC1"/>
    <w:rsid w:val="00046516"/>
    <w:rsid w:val="0007601D"/>
    <w:rsid w:val="000B0720"/>
    <w:rsid w:val="000B5EAF"/>
    <w:rsid w:val="001315B2"/>
    <w:rsid w:val="001659EE"/>
    <w:rsid w:val="00170561"/>
    <w:rsid w:val="00186AC9"/>
    <w:rsid w:val="00197DF1"/>
    <w:rsid w:val="001B3DD9"/>
    <w:rsid w:val="001B7E5D"/>
    <w:rsid w:val="001D3BAC"/>
    <w:rsid w:val="001E37B7"/>
    <w:rsid w:val="001F397C"/>
    <w:rsid w:val="00216025"/>
    <w:rsid w:val="00245C4E"/>
    <w:rsid w:val="002C1321"/>
    <w:rsid w:val="002C2031"/>
    <w:rsid w:val="002C5896"/>
    <w:rsid w:val="002D3BED"/>
    <w:rsid w:val="00307C2B"/>
    <w:rsid w:val="00362215"/>
    <w:rsid w:val="00383247"/>
    <w:rsid w:val="003D6E2B"/>
    <w:rsid w:val="003E7597"/>
    <w:rsid w:val="0044020F"/>
    <w:rsid w:val="00450668"/>
    <w:rsid w:val="004759AB"/>
    <w:rsid w:val="004813A2"/>
    <w:rsid w:val="004952FA"/>
    <w:rsid w:val="004B6A22"/>
    <w:rsid w:val="004D7F37"/>
    <w:rsid w:val="00522CE0"/>
    <w:rsid w:val="00565148"/>
    <w:rsid w:val="00570403"/>
    <w:rsid w:val="00593361"/>
    <w:rsid w:val="00594665"/>
    <w:rsid w:val="005A413B"/>
    <w:rsid w:val="005A5017"/>
    <w:rsid w:val="005A648C"/>
    <w:rsid w:val="005D7890"/>
    <w:rsid w:val="005F1745"/>
    <w:rsid w:val="006A1802"/>
    <w:rsid w:val="006C74EA"/>
    <w:rsid w:val="006F6A46"/>
    <w:rsid w:val="00720D40"/>
    <w:rsid w:val="007318D4"/>
    <w:rsid w:val="00747BEE"/>
    <w:rsid w:val="00765784"/>
    <w:rsid w:val="00777D1C"/>
    <w:rsid w:val="007A3B0D"/>
    <w:rsid w:val="007A4390"/>
    <w:rsid w:val="007E5CB7"/>
    <w:rsid w:val="008314D2"/>
    <w:rsid w:val="008B2F42"/>
    <w:rsid w:val="008C3697"/>
    <w:rsid w:val="008E185F"/>
    <w:rsid w:val="008F023B"/>
    <w:rsid w:val="00902529"/>
    <w:rsid w:val="00904E16"/>
    <w:rsid w:val="009162B3"/>
    <w:rsid w:val="00927C62"/>
    <w:rsid w:val="00981A67"/>
    <w:rsid w:val="00983951"/>
    <w:rsid w:val="00984124"/>
    <w:rsid w:val="00984640"/>
    <w:rsid w:val="00995C37"/>
    <w:rsid w:val="009C118A"/>
    <w:rsid w:val="009C2ABC"/>
    <w:rsid w:val="009F23D8"/>
    <w:rsid w:val="00A02011"/>
    <w:rsid w:val="00A4011E"/>
    <w:rsid w:val="00A86015"/>
    <w:rsid w:val="00A9594E"/>
    <w:rsid w:val="00AC6A11"/>
    <w:rsid w:val="00AE59C8"/>
    <w:rsid w:val="00B10098"/>
    <w:rsid w:val="00B5790D"/>
    <w:rsid w:val="00B945C5"/>
    <w:rsid w:val="00BA20EA"/>
    <w:rsid w:val="00BB5AFC"/>
    <w:rsid w:val="00BC0A56"/>
    <w:rsid w:val="00C22B54"/>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0FD7"/>
    <w:rsid w:val="00F0234A"/>
    <w:rsid w:val="00F05CF2"/>
    <w:rsid w:val="00F31DE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FFF1B49-8109-45D5-A2E0-774F17D60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D0F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F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45559199.dotm</Template>
  <TotalTime>0</TotalTime>
  <Pages>3</Pages>
  <Words>352</Words>
  <Characters>1966</Characters>
  <Application>Microsoft Office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225 Text of Previous Version (Feb. 11, 2015) - South Carolina Legislature Online</dc:title>
  <dc:subject/>
  <dc:creator>LeslieSimpson</dc:creator>
  <cp:keywords/>
  <dc:description/>
  <cp:lastModifiedBy>Miriam Cook</cp:lastModifiedBy>
  <cp:revision>2</cp:revision>
  <cp:lastPrinted>2014-12-05T15:56:00Z</cp:lastPrinted>
  <dcterms:created xsi:type="dcterms:W3CDTF">2015-02-11T23:55:00Z</dcterms:created>
  <dcterms:modified xsi:type="dcterms:W3CDTF">2015-02-11T23:55:00Z</dcterms:modified>
</cp:coreProperties>
</file>