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DF" w:rsidRDefault="00256FDF" w:rsidP="00F36607">
      <w:pPr>
        <w:tabs>
          <w:tab w:val="right" w:pos="5933"/>
        </w:tabs>
        <w:suppressAutoHyphens/>
        <w:jc w:val="both"/>
        <w:rPr>
          <w:rFonts w:eastAsia="Times New Roman"/>
        </w:rPr>
      </w:pPr>
      <w:r>
        <w:rPr>
          <w:rFonts w:eastAsia="Times New Roman"/>
        </w:rPr>
        <w:t>AMENDED</w:t>
      </w:r>
    </w:p>
    <w:p w:rsidR="00256FDF" w:rsidRDefault="00256FDF" w:rsidP="00F36607">
      <w:pPr>
        <w:tabs>
          <w:tab w:val="right" w:pos="5933"/>
        </w:tabs>
        <w:suppressAutoHyphens/>
        <w:jc w:val="both"/>
        <w:rPr>
          <w:rFonts w:eastAsia="Times New Roman"/>
        </w:rPr>
      </w:pPr>
      <w:r>
        <w:rPr>
          <w:rFonts w:eastAsia="Times New Roman"/>
        </w:rPr>
        <w:t>April 6, 2016</w:t>
      </w:r>
    </w:p>
    <w:p w:rsidR="00256FDF" w:rsidRDefault="00256FDF" w:rsidP="00F36607">
      <w:pPr>
        <w:tabs>
          <w:tab w:val="right" w:pos="5933"/>
        </w:tabs>
        <w:suppressAutoHyphens/>
        <w:jc w:val="both"/>
        <w:rPr>
          <w:rFonts w:eastAsia="Times New Roman"/>
        </w:rPr>
      </w:pPr>
    </w:p>
    <w:p w:rsidR="00F36607" w:rsidRPr="00F36607" w:rsidRDefault="00F36607" w:rsidP="00F36607">
      <w:pPr>
        <w:tabs>
          <w:tab w:val="right" w:pos="5933"/>
        </w:tabs>
        <w:suppressAutoHyphens/>
        <w:jc w:val="both"/>
        <w:rPr>
          <w:rFonts w:eastAsia="Times New Roman"/>
        </w:rPr>
      </w:pPr>
      <w:r>
        <w:rPr>
          <w:rFonts w:eastAsia="Times New Roman"/>
        </w:rPr>
        <w:tab/>
      </w:r>
      <w:r>
        <w:rPr>
          <w:rFonts w:eastAsia="Times New Roman"/>
          <w:b/>
          <w:sz w:val="36"/>
        </w:rPr>
        <w:t>S. 267</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905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and Thurmond</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2238E9">
      <w:pPr>
        <w:tabs>
          <w:tab w:val="right" w:pos="5933"/>
        </w:tabs>
        <w:suppressAutoHyphens/>
        <w:jc w:val="both"/>
        <w:rPr>
          <w:rFonts w:eastAsia="Times New Roman"/>
        </w:rPr>
      </w:pPr>
      <w:r>
        <w:rPr>
          <w:rFonts w:eastAsia="Times New Roman"/>
        </w:rPr>
        <w:t xml:space="preserve">S. Printed </w:t>
      </w:r>
      <w:r w:rsidR="00256FDF">
        <w:rPr>
          <w:rFonts w:eastAsia="Times New Roman"/>
        </w:rPr>
        <w:t>4/6</w:t>
      </w:r>
      <w:r>
        <w:rPr>
          <w:rFonts w:eastAsia="Times New Roman"/>
        </w:rPr>
        <w:t>/16--S.</w:t>
      </w:r>
      <w:r w:rsidR="002238E9">
        <w:rPr>
          <w:rFonts w:eastAsia="Times New Roman"/>
        </w:rPr>
        <w:tab/>
        <w:t>[SEC 4/7/16 12:26 PM]</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6607" w:rsidRDefault="00F36607"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6607"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522CE0" w:rsidRDefault="0025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56FDF" w:rsidRDefault="0025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1.</w:t>
      </w:r>
      <w:r>
        <w:rPr>
          <w:snapToGrid w:val="0"/>
        </w:rPr>
        <w:tab/>
        <w:t xml:space="preserve">Section 2-1-180 of the 1976 Code is amended to read: </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2-1-180.</w:t>
      </w:r>
      <w:r>
        <w:rPr>
          <w:snapToGrid w:val="0"/>
        </w:rPr>
        <w:tab/>
        <w:t xml:space="preserve">The regular annual session of the General Assembly shall adjourn sine die each year not later than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w:t>
      </w:r>
      <w:r>
        <w:rPr>
          <w:snapToGrid w:val="0"/>
          <w:u w:val="single"/>
        </w:rPr>
        <w:t>The regular annual session of the General Assembly can be extended: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(a)</w:t>
      </w:r>
      <w:r>
        <w:rPr>
          <w:snapToGrid w:val="0"/>
        </w:rPr>
        <w:tab/>
      </w:r>
      <w:r>
        <w:rPr>
          <w:strike/>
          <w:snapToGrid w:val="0"/>
        </w:rPr>
        <w:t>In any year that</w:t>
      </w:r>
      <w:r>
        <w:rPr>
          <w:snapToGrid w:val="0"/>
        </w:rPr>
        <w:t xml:space="preserve"> </w:t>
      </w:r>
      <w:r>
        <w:rPr>
          <w:snapToGrid w:val="0"/>
          <w:u w:val="single"/>
        </w:rPr>
        <w:t>if</w:t>
      </w:r>
      <w:r>
        <w:rPr>
          <w:snapToGrid w:val="0"/>
        </w:rPr>
        <w:t xml:space="preserve"> the House of Representatives fails to give a third reading to the annual </w:t>
      </w:r>
      <w:r>
        <w:rPr>
          <w:strike/>
          <w:snapToGrid w:val="0"/>
        </w:rPr>
        <w:t>General Appropriation Bill</w:t>
      </w:r>
      <w:r>
        <w:rPr>
          <w:snapToGrid w:val="0"/>
        </w:rPr>
        <w:t xml:space="preserve"> </w:t>
      </w:r>
      <w:r>
        <w:rPr>
          <w:snapToGrid w:val="0"/>
          <w:u w:val="single"/>
        </w:rPr>
        <w:t>general appropriations bill</w:t>
      </w:r>
      <w:r>
        <w:rPr>
          <w:snapToGrid w:val="0"/>
        </w:rPr>
        <w:t xml:space="preserve"> by March </w:t>
      </w:r>
      <w:r>
        <w:rPr>
          <w:strike/>
          <w:snapToGrid w:val="0"/>
        </w:rPr>
        <w:t>thirty-first</w:t>
      </w:r>
      <w:r>
        <w:rPr>
          <w:snapToGrid w:val="0"/>
        </w:rPr>
        <w:t xml:space="preserve"> </w:t>
      </w:r>
      <w:r>
        <w:rPr>
          <w:snapToGrid w:val="0"/>
          <w:u w:val="single"/>
        </w:rPr>
        <w:t>first</w:t>
      </w:r>
      <w:r>
        <w:rPr>
          <w:snapToGrid w:val="0"/>
        </w:rPr>
        <w:t xml:space="preserve">, the date of sine die adjournment is extended by one statewide day for each statewide day after March </w:t>
      </w:r>
      <w:r>
        <w:rPr>
          <w:strike/>
          <w:snapToGrid w:val="0"/>
        </w:rPr>
        <w:t>thirty-first</w:t>
      </w:r>
      <w:r>
        <w:rPr>
          <w:snapToGrid w:val="0"/>
        </w:rPr>
        <w:t xml:space="preserve"> </w:t>
      </w:r>
      <w:r>
        <w:rPr>
          <w:snapToGrid w:val="0"/>
          <w:u w:val="single"/>
        </w:rPr>
        <w:t>first</w:t>
      </w:r>
      <w:r>
        <w:rPr>
          <w:snapToGrid w:val="0"/>
        </w:rPr>
        <w:t xml:space="preserve"> that the House of Representatives fails to give the bill third reading</w:t>
      </w:r>
      <w:r w:rsidRPr="002238E9">
        <w:rPr>
          <w:strike/>
          <w:snapToGrid w:val="0"/>
        </w:rPr>
        <w:t>.</w:t>
      </w:r>
      <w:r>
        <w:rPr>
          <w:snapToGrid w:val="0"/>
          <w:u w:val="single"/>
        </w:rPr>
        <w:t>;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(b)</w:t>
      </w:r>
      <w:r>
        <w:rPr>
          <w:snapToGrid w:val="0"/>
        </w:rPr>
        <w:tab/>
      </w:r>
      <w:r>
        <w:rPr>
          <w:snapToGrid w:val="0"/>
          <w:u w:val="single"/>
        </w:rPr>
        <w:t xml:space="preserve">if a forecast reduction is submitted by the Board of Economic Advisors pursuant to Section 11-9-880 after April tenth </w:t>
      </w:r>
      <w:r>
        <w:rPr>
          <w:snapToGrid w:val="0"/>
          <w:u w:val="single"/>
        </w:rPr>
        <w:lastRenderedPageBreak/>
        <w:t>for the next fiscal year, the adjournment date for the General Assembly may be extended up to two weeks with the agreement of the Speaker of the House and the President Pro Tempore of the Senate;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(c)</w:t>
      </w:r>
      <w:r>
        <w:rPr>
          <w:snapToGrid w:val="0"/>
        </w:rPr>
        <w:tab/>
      </w:r>
      <w:r>
        <w:rPr>
          <w:strike/>
          <w:snapToGrid w:val="0"/>
        </w:rPr>
        <w:t>The session also may also be extended by</w:t>
      </w:r>
      <w:r>
        <w:rPr>
          <w:snapToGrid w:val="0"/>
        </w:rPr>
        <w:t xml:space="preserve"> </w:t>
      </w:r>
      <w:r>
        <w:rPr>
          <w:snapToGrid w:val="0"/>
          <w:u w:val="single"/>
        </w:rPr>
        <w:t>if a</w:t>
      </w:r>
      <w:r>
        <w:rPr>
          <w:snapToGrid w:val="0"/>
        </w:rPr>
        <w:t xml:space="preserve"> concurrent resolution </w:t>
      </w:r>
      <w:r>
        <w:rPr>
          <w:snapToGrid w:val="0"/>
          <w:u w:val="single"/>
        </w:rPr>
        <w:t>is</w:t>
      </w:r>
      <w:r>
        <w:rPr>
          <w:snapToGrid w:val="0"/>
        </w:rPr>
        <w:t xml:space="preserve"> adopted by a two-thirds vote of both the Senate and House of Representatives </w:t>
      </w:r>
      <w:r>
        <w:rPr>
          <w:snapToGrid w:val="0"/>
          <w:u w:val="single"/>
        </w:rPr>
        <w:t>not later than</w:t>
      </w:r>
      <w:r w:rsidRPr="002238E9">
        <w:rPr>
          <w:snapToGrid w:val="0"/>
        </w:rPr>
        <w:t xml:space="preserve"> </w:t>
      </w:r>
      <w:r w:rsidRPr="002238E9">
        <w:rPr>
          <w:strike/>
          <w:snapToGrid w:val="0"/>
        </w:rPr>
        <w:t>5:00</w:t>
      </w:r>
      <w:r w:rsidRPr="002238E9">
        <w:rPr>
          <w:snapToGrid w:val="0"/>
        </w:rPr>
        <w:t xml:space="preserve"> </w:t>
      </w:r>
      <w:r>
        <w:rPr>
          <w:snapToGrid w:val="0"/>
          <w:u w:val="single"/>
        </w:rPr>
        <w:t>five o’clock p.m. on the</w:t>
      </w:r>
      <w:r w:rsidRPr="002238E9">
        <w:rPr>
          <w:snapToGrid w:val="0"/>
        </w:rPr>
        <w:t xml:space="preserve"> </w:t>
      </w:r>
      <w:r w:rsidRPr="002238E9">
        <w:rPr>
          <w:strike/>
          <w:snapToGrid w:val="0"/>
        </w:rPr>
        <w:t>first</w:t>
      </w:r>
      <w:r w:rsidRPr="002238E9">
        <w:rPr>
          <w:snapToGrid w:val="0"/>
        </w:rPr>
        <w:t xml:space="preserve"> </w:t>
      </w:r>
      <w:r>
        <w:rPr>
          <w:snapToGrid w:val="0"/>
          <w:u w:val="single"/>
        </w:rPr>
        <w:t>second Thursday in</w:t>
      </w:r>
      <w:r w:rsidRPr="002238E9">
        <w:rPr>
          <w:snapToGrid w:val="0"/>
        </w:rPr>
        <w:t xml:space="preserve"> </w:t>
      </w:r>
      <w:r w:rsidRPr="002238E9">
        <w:rPr>
          <w:strike/>
          <w:snapToGrid w:val="0"/>
        </w:rPr>
        <w:t>June</w:t>
      </w:r>
      <w:r w:rsidRPr="002238E9">
        <w:rPr>
          <w:snapToGrid w:val="0"/>
        </w:rPr>
        <w:t xml:space="preserve"> </w:t>
      </w:r>
      <w:r>
        <w:rPr>
          <w:snapToGrid w:val="0"/>
          <w:u w:val="single"/>
        </w:rPr>
        <w:t>May.</w:t>
      </w:r>
      <w:r>
        <w:rPr>
          <w:snapToGrid w:val="0"/>
        </w:rPr>
        <w:t xml:space="preserve">  During the time between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and the extended sine die adjournment date, as set forth herein, no legislation or other business may be considered except the </w:t>
      </w:r>
      <w:r>
        <w:rPr>
          <w:strike/>
          <w:snapToGrid w:val="0"/>
        </w:rPr>
        <w:t>General Appropriation Bill</w:t>
      </w:r>
      <w:r>
        <w:rPr>
          <w:snapToGrid w:val="0"/>
        </w:rPr>
        <w:t xml:space="preserve"> </w:t>
      </w:r>
      <w:r>
        <w:rPr>
          <w:snapToGrid w:val="0"/>
          <w:u w:val="single"/>
        </w:rPr>
        <w:t>general appropriation</w:t>
      </w:r>
      <w:r w:rsidR="002238E9">
        <w:rPr>
          <w:snapToGrid w:val="0"/>
          <w:u w:val="single"/>
        </w:rPr>
        <w:t>s</w:t>
      </w:r>
      <w:r>
        <w:rPr>
          <w:snapToGrid w:val="0"/>
          <w:u w:val="single"/>
        </w:rPr>
        <w:t xml:space="preserve"> bill</w:t>
      </w:r>
      <w:r>
        <w:rPr>
          <w:snapToGrid w:val="0"/>
        </w:rPr>
        <w:t xml:space="preserve"> and any matters approved for consideration by a concurrent resolution adopted by two-thirds vote in both houses.”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2.</w:t>
      </w:r>
      <w:r>
        <w:rPr>
          <w:snapToGrid w:val="0"/>
        </w:rPr>
        <w:tab/>
        <w:t>Section 11-9-880(A) of the 1976 Code is amended to read: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11-9-880.</w:t>
      </w:r>
      <w:r>
        <w:rPr>
          <w:snapToGrid w:val="0"/>
        </w:rPr>
        <w:tab/>
        <w:t>(A)</w:t>
      </w:r>
      <w:r>
        <w:rPr>
          <w:snapToGrid w:val="0"/>
        </w:rPr>
        <w:tab/>
      </w:r>
      <w:r>
        <w:rPr>
          <w:color w:val="000000"/>
        </w:rPr>
        <w:t xml:space="preserve">The Board of Economic Advisors shall make an initial forecast of economic conditions in the State and state revenues for the next fiscal year no later than November tenth of each year.  Adjustments to the forecast must be considered on December tenth and </w:t>
      </w:r>
      <w:r>
        <w:rPr>
          <w:strike/>
          <w:color w:val="000000"/>
        </w:rPr>
        <w:t>January tenth</w:t>
      </w:r>
      <w:r>
        <w:rPr>
          <w:color w:val="000000"/>
        </w:rPr>
        <w:t xml:space="preserve"> </w:t>
      </w:r>
      <w:r>
        <w:rPr>
          <w:color w:val="000000"/>
          <w:u w:val="single"/>
        </w:rPr>
        <w:t>February tenth</w:t>
      </w:r>
      <w:r>
        <w:rPr>
          <w:color w:val="000000"/>
        </w:rPr>
        <w:t xml:space="preserve">.  </w:t>
      </w:r>
      <w:r>
        <w:rPr>
          <w:color w:val="000000"/>
          <w:u w:val="single"/>
        </w:rPr>
        <w:t>A final forecast for the next fiscal year must be made on April tenth.</w:t>
      </w:r>
      <w:r>
        <w:rPr>
          <w:color w:val="000000"/>
        </w:rPr>
        <w:t xml:space="preserve">  </w:t>
      </w:r>
      <w:r>
        <w:rPr>
          <w:strike/>
          <w:color w:val="000000"/>
        </w:rPr>
        <w:t>A final forecast for the next fiscal year must be made on February fifteenth.</w:t>
      </w:r>
      <w:r>
        <w:rPr>
          <w:color w:val="000000"/>
        </w:rPr>
        <w:t xml:space="preserve">  </w:t>
      </w:r>
      <w:r>
        <w:rPr>
          <w:strike/>
          <w:color w:val="000000"/>
        </w:rPr>
        <w:t>The February fifteenth forecast may be adjusted monthly if the board determines that changing economic conditions have affected the February fifteenth forecast.</w:t>
      </w:r>
      <w:r>
        <w:rPr>
          <w:color w:val="000000"/>
        </w:rPr>
        <w:t xml:space="preserve"> </w:t>
      </w:r>
      <w:r>
        <w:rPr>
          <w:color w:val="000000"/>
          <w:u w:val="single"/>
        </w:rPr>
        <w:t>However, prior to June thirtieth, the board may reduce forecasts for the next fiscal year as it considers necessary.</w:t>
      </w:r>
      <w:r>
        <w:rPr>
          <w:color w:val="000000"/>
        </w:rPr>
        <w:t xml:space="preserve">  Before making or adjusting any forecast, the board must consult with outside economic experts with respect to national and South Carolina economic business conditions.  All forecasts and adjusted forecasts must contain:</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(1)</w:t>
      </w:r>
      <w:r>
        <w:rPr>
          <w:color w:val="000000"/>
        </w:rPr>
        <w:tab/>
        <w:t>a brief description of the econometric model and all assumptions and basic decisions underlying the forecasts;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(2)</w:t>
      </w:r>
      <w:r>
        <w:rPr>
          <w:color w:val="000000"/>
        </w:rPr>
        <w:tab/>
        <w:t>a projection of state revenues on a quarterly basis;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(3)</w:t>
      </w:r>
      <w:r>
        <w:rPr>
          <w:color w:val="000000"/>
        </w:rPr>
        <w:tab/>
        <w:t>separate discussions of any industry which employs more than twenty percent of the state’s total nonagricultural employment and separate projections for these industries.”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F80B65" w:rsidRPr="00C70663"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snapToGrid w:val="0"/>
        </w:rPr>
        <w:t>SECTION</w:t>
      </w:r>
      <w:r>
        <w:rPr>
          <w:snapToGrid w:val="0"/>
        </w:rPr>
        <w:tab/>
        <w:t>3.</w:t>
      </w:r>
      <w:r>
        <w:rPr>
          <w:snapToGrid w:val="0"/>
        </w:rPr>
        <w:tab/>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0BE4" w:rsidRDefault="00280BE4" w:rsidP="00280BE4">
      <w:pPr>
        <w:suppressAutoHyphens/>
        <w:jc w:val="both"/>
        <w:rPr>
          <w:rFonts w:eastAsia="Times New Roman"/>
        </w:rPr>
      </w:pPr>
    </w:p>
    <w:sectPr w:rsidR="00280BE4"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4F6FB2-603A-4E98-A9B3-829544B96F7C}"/>
    <w:embedBold r:id="rId2" w:fontKey="{A59DF800-F5DB-4BD3-A51E-771B782336AE}"/>
  </w:font>
  <w:font w:name="Calibri">
    <w:panose1 w:val="020F0502020204030204"/>
    <w:charset w:val="00"/>
    <w:family w:val="swiss"/>
    <w:pitch w:val="variable"/>
    <w:sig w:usb0="E00002FF" w:usb1="4000ACFF" w:usb2="00000001" w:usb3="00000000" w:csb0="0000019F" w:csb1="00000000"/>
    <w:embedRegular r:id="rId3" w:fontKey="{E51B0209-179D-4551-BDE8-E84B6BCC54FF}"/>
  </w:font>
  <w:font w:name="Cambria">
    <w:panose1 w:val="02040503050406030204"/>
    <w:charset w:val="00"/>
    <w:family w:val="roman"/>
    <w:pitch w:val="variable"/>
    <w:sig w:usb0="E00002FF" w:usb1="400004FF" w:usb2="00000000" w:usb3="00000000" w:csb0="0000019F" w:csb1="00000000"/>
    <w:embedRegular r:id="rId4" w:fontKey="{1B856B11-EF3A-471A-8F82-9708DBF3B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280BE4">
      <w:rPr>
        <w:noProof/>
      </w:rPr>
      <w:t>1</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280B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216025"/>
    <w:rsid w:val="002238E9"/>
    <w:rsid w:val="00245C4E"/>
    <w:rsid w:val="00256FDF"/>
    <w:rsid w:val="00280BE4"/>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5C23"/>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B5115265.dotm</Template>
  <TotalTime>0</TotalTime>
  <Pages>4</Pages>
  <Words>663</Words>
  <Characters>3369</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(Apr. 7, 2016) - South Carolina Legislature Online</dc:title>
  <dc:subject/>
  <dc:creator>%USERNAME%</dc:creator>
  <cp:keywords/>
  <dc:description/>
  <cp:lastModifiedBy>Angela Hopkins</cp:lastModifiedBy>
  <cp:revision>2</cp:revision>
  <dcterms:created xsi:type="dcterms:W3CDTF">2016-04-07T16:26:00Z</dcterms:created>
  <dcterms:modified xsi:type="dcterms:W3CDTF">2016-04-07T16:26:00Z</dcterms:modified>
</cp:coreProperties>
</file>